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0F3CCA" w:rsidRPr="000F3CCA" w:rsidTr="004C556E">
        <w:trPr>
          <w:trHeight w:val="4384"/>
        </w:trPr>
        <w:tc>
          <w:tcPr>
            <w:tcW w:w="9694" w:type="dxa"/>
            <w:shd w:val="clear" w:color="auto" w:fill="auto"/>
          </w:tcPr>
          <w:p w:rsidR="00D76694" w:rsidRPr="000F3CCA" w:rsidRDefault="00D76694" w:rsidP="00D76694">
            <w:pPr>
              <w:spacing w:before="120" w:afterLines="50" w:after="180" w:line="380" w:lineRule="exact"/>
              <w:jc w:val="center"/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</w:pPr>
            <w:r w:rsidRPr="000F3CCA">
              <w:rPr>
                <w:b/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內政部移民署委託輔仁大學辦理</w:t>
            </w:r>
            <w:r w:rsidRPr="000F3CCA"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  <w:br/>
              <w:t xml:space="preserve">                                          </w:t>
            </w:r>
            <w:r w:rsidRPr="000F3CCA"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內政部外籍配偶照顧輔導基金補助</w:t>
            </w:r>
          </w:p>
          <w:p w:rsidR="00D76694" w:rsidRPr="000F3CCA" w:rsidRDefault="00D76694" w:rsidP="00D76694">
            <w:pPr>
              <w:spacing w:beforeLines="50" w:before="180" w:afterLines="50" w:after="180" w:line="380" w:lineRule="exact"/>
              <w:jc w:val="center"/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</w:pPr>
            <w:bookmarkStart w:id="0" w:name="_GoBack"/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「新住民母語教學人才培訓」招生簡章</w:t>
            </w:r>
            <w:bookmarkEnd w:id="0"/>
          </w:p>
          <w:p w:rsidR="00D76694" w:rsidRPr="000F3CCA" w:rsidRDefault="00D76694" w:rsidP="00D76694">
            <w:pPr>
              <w:adjustRightInd w:val="0"/>
              <w:snapToGrid w:val="0"/>
              <w:spacing w:beforeLines="50" w:before="180" w:line="400" w:lineRule="exact"/>
              <w:ind w:firstLineChars="200" w:firstLine="480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為善用新住民及其子女語言優勢，促進社會多元文化發展，內政部及教育部共同推動「全國新住民火炬計畫」，特別結合大專院校資源，匯聚優良外語教學方式，規劃實務導向之新住民母語教學培訓課程，以提升有意願參與外語教育的新住民建立有效的教學專業知能，鼓勵培育之新住民母語教學人才投入中小學新住民母語教學，厚植下一代公民的國際發展潛力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【報名資格】</w:t>
            </w:r>
          </w:p>
          <w:p w:rsidR="00D76694" w:rsidRPr="004C00BE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一、新住民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係指臺灣地區人民之配偶為未入籍或已入籍為本國國民之外國人、無國籍人、大陸地區及香港或澳門居民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及新住民子女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越南語、印尼語、泰國語、柬埔寨語、緬甸語</w:t>
            </w:r>
            <w:r w:rsidR="00123D1E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、菲律賓語及馬來西亞語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4C00BE">
              <w:rPr>
                <w:color w:val="000000" w:themeColor="text1"/>
                <w:sz w:val="24"/>
                <w:szCs w:val="24"/>
                <w:u w:val="none"/>
              </w:rPr>
              <w:t>二、外籍人士，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語、印尼語、泰國語、柬埔寨語、緬甸語</w:t>
            </w:r>
            <w:r w:rsidR="00123D1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</w:t>
            </w:r>
            <w:r w:rsidR="00123D1E" w:rsidRPr="00F70481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菲律賓語及馬來西亞語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三、報名時須提供原生國籍相關證明文件影本。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</w:p>
          <w:p w:rsidR="00D76694" w:rsidRPr="000F3CCA" w:rsidRDefault="00D76694" w:rsidP="00862BDF">
            <w:pPr>
              <w:spacing w:line="400" w:lineRule="exact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</w:t>
            </w:r>
            <w:r w:rsidRPr="000F3CCA">
              <w:rPr>
                <w:rFonts w:hint="eastAsia"/>
                <w:b/>
                <w:color w:val="000000" w:themeColor="text1"/>
                <w:sz w:val="32"/>
                <w:szCs w:val="32"/>
                <w:u w:val="none"/>
              </w:rPr>
              <w:t>培訓對象</w:t>
            </w: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一、初階培訓課程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熟諳或通曉越南語、印尼語、泰國語、柬埔寨語、緬甸語、菲律賓語及馬來西亞語其中之任一種語言之新住民及其子女。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熟諳或通曉越南語、印尼語、泰國語、柬埔寨語、緬甸語、菲律賓語及馬來西亞語其中之任一種語言之外籍人士，惟需符合就業服務法相關規定。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二、進階培訓課程（報名時需檢附符合下列資格之證明文件）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通過本署辦理之「新住民母語教學人才培訓」取得結業證書者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參加各縣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政府曾辦理「新住民母語教學人才培訓」取得結業證書者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3.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曾於國中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小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4.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曾於大專院校或高中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職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【培訓場次、日期及地點】</w:t>
            </w:r>
          </w:p>
          <w:p w:rsidR="00D76694" w:rsidRPr="000F3CCA" w:rsidRDefault="00D76694" w:rsidP="00862BDF">
            <w:pPr>
              <w:spacing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於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日起公告培訓場次、日期及地點於內政部移民署網站、全國新住民火炬計畫專屬網站、高級中學第二外語教育學科中心網站，網址：</w:t>
            </w:r>
          </w:p>
          <w:p w:rsidR="00D76694" w:rsidRPr="000F3CCA" w:rsidRDefault="00D76694" w:rsidP="00862BDF">
            <w:pPr>
              <w:spacing w:line="400" w:lineRule="exact"/>
              <w:ind w:left="1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一、內政部移民署網站「最新消息」專區：</w:t>
            </w:r>
            <w:hyperlink r:id="rId7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</w:t>
              </w:r>
              <w:bookmarkStart w:id="1" w:name="_Hlt364158748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</w:t>
              </w:r>
              <w:bookmarkEnd w:id="1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immigratio</w:t>
              </w:r>
              <w:bookmarkStart w:id="2" w:name="_Hlt364158846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n</w:t>
              </w:r>
              <w:bookmarkEnd w:id="2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400" w:lineRule="exact"/>
              <w:ind w:left="600" w:hangingChars="250" w:hanging="60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http://www.immigration.gov.tw/mp.</w:t>
            </w:r>
            <w:bookmarkStart w:id="3" w:name="_Hlt364158737"/>
            <w:r w:rsidRPr="000F3CCA">
              <w:rPr>
                <w:color w:val="000000" w:themeColor="text1"/>
                <w:sz w:val="24"/>
                <w:szCs w:val="24"/>
                <w:u w:val="none"/>
              </w:rPr>
              <w:t>a</w:t>
            </w:r>
            <w:bookmarkEnd w:id="3"/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sp?mp=TP </w:t>
            </w:r>
          </w:p>
          <w:p w:rsidR="00D76694" w:rsidRPr="000F3CCA" w:rsidRDefault="00D76694" w:rsidP="00862BDF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三、高級中學第二外語教育學科中心網站「最新消息」專區：</w:t>
            </w:r>
          </w:p>
          <w:p w:rsidR="00D76694" w:rsidRPr="000F3CCA" w:rsidRDefault="00DE3EA7" w:rsidP="00BD6CB6">
            <w:pPr>
              <w:spacing w:line="400" w:lineRule="exact"/>
              <w:ind w:leftChars="316" w:left="1132" w:hangingChars="250" w:hanging="500"/>
              <w:rPr>
                <w:color w:val="000000" w:themeColor="text1"/>
                <w:sz w:val="32"/>
                <w:szCs w:val="32"/>
                <w:u w:val="none"/>
              </w:rPr>
            </w:pPr>
            <w:hyperlink r:id="rId8" w:history="1">
              <w:r w:rsidR="00D76694" w:rsidRPr="000F3CCA">
                <w:rPr>
                  <w:rStyle w:val="a3"/>
                  <w:color w:val="000000" w:themeColor="text1"/>
                  <w:sz w:val="24"/>
                  <w:szCs w:val="24"/>
                </w:rPr>
                <w:t>http://www.2ndflcenter.tw/main.asp</w:t>
              </w:r>
            </w:hyperlink>
            <w:r w:rsidR="00D76694"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D76694">
            <w:pPr>
              <w:spacing w:beforeLines="50" w:before="18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【報名方式】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日各相關網站公告正式招生簡章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報名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自即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01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日截止郵寄報名表至輔仁大學高中第二外語教育學科中心（以郵戳日期為憑，逾期恕不受理），郵寄地址：【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24299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新莊郵局第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1-140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號信箱】（請註明「新住民母語教學人才培訓報名」）。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二、郵寄報名表時請附上二張相同的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吋脫帽照片，照片背面請註明中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/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英文姓名及聯絡電話，一張完整黏貼，另一張浮貼即可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結業證書用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三、報名進階課程者須隨報名表繳交「培訓對象」欄所列之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至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類資格之證明文件</w:t>
            </w:r>
            <w:r w:rsidR="00BD6CB6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影本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(見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「培訓對象」欄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)。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四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、報名表上各項資料填寫不完整者恕不受理。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五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、報名人數：每場次以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人計，依報名先後順序決定入選名單。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六、辦理進階課程縣市：臺北市、新北市、桃園市、臺中市、臺南市、高雄市、新竹市及花蓮縣等計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個直轄市、縣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辦理初階課程縣市：澎湖縣、花蓮縣、臺北市、新北市、桃園市、新竹縣、苗栗縣、臺中市、彰化縣、南投縣、雲林縣、嘉義縣</w:t>
            </w:r>
            <w:r w:rsidR="0016263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、高雄市、臺南市及屏東縣等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15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請學員依其資格及其所在地挑選適合之場次。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七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、入選名單：於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各場次開課前一週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公告於以下網站，另以手機簡訊通知錄取學員：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內政部移民署網站「最新消息」專區：</w:t>
            </w:r>
            <w:hyperlink r:id="rId9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http://www.immigration.gov.tw/</w:t>
              </w:r>
            </w:hyperlink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2.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http://www.immigration.gov.tw/mp.asp?mp=TP </w:t>
            </w:r>
          </w:p>
          <w:p w:rsidR="00D76694" w:rsidRPr="000F3CCA" w:rsidRDefault="00D76694" w:rsidP="00D76694">
            <w:pPr>
              <w:spacing w:line="400" w:lineRule="exact"/>
              <w:ind w:leftChars="200" w:left="8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3.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高級中學第二外語教育學科中心網站「最新消息」專區：</w:t>
            </w:r>
          </w:p>
          <w:p w:rsidR="00D76694" w:rsidRPr="000F3CCA" w:rsidRDefault="00D76694" w:rsidP="00D76694">
            <w:pPr>
              <w:spacing w:line="400" w:lineRule="exact"/>
              <w:ind w:leftChars="316" w:left="800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http://www.2ndflcenter.tw/main.asp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597F6E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八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、報名諮詢專線：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(02)29052573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，聯絡人：陳小姐</w:t>
            </w:r>
            <w:r w:rsidR="00597F6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LINE ID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：</w:t>
            </w:r>
            <w:r w:rsidR="00597F6E" w:rsidRPr="00597F6E">
              <w:rPr>
                <w:rFonts w:hint="eastAsia"/>
                <w:color w:val="FF0000"/>
                <w:sz w:val="24"/>
                <w:szCs w:val="24"/>
                <w:u w:val="none"/>
              </w:rPr>
              <w:t>0909309695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九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、報名表：（參見附件）</w:t>
            </w:r>
          </w:p>
          <w:p w:rsidR="00D76694" w:rsidRPr="000F3CCA" w:rsidRDefault="00D76694" w:rsidP="00D76694">
            <w:pPr>
              <w:spacing w:beforeLines="50" w:before="180" w:afterLines="20" w:after="72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【課程暨考試內容及時間分配】</w:t>
            </w:r>
          </w:p>
          <w:tbl>
            <w:tblPr>
              <w:tblW w:w="9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初階培訓課程表</w:t>
                  </w:r>
                </w:p>
              </w:tc>
            </w:tr>
            <w:tr w:rsidR="000F3CCA" w:rsidRPr="000F3CCA" w:rsidTr="00862BDF">
              <w:trPr>
                <w:tblHeader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移民輔導簡介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含全國新住民火炬計畫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及母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外語專業人員服務倫理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新住民母語教材及多元文化繪本介紹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教材分析與補充教材製作（一）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教材分析與補充教材製作（二）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教材分析與補充教材製作（三）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ind w:left="214" w:hangingChars="89" w:hanging="214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13:00~14:30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14:30~14:40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14:40~16:10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教學演示與講評（五）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13:00~13:50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筆試：教案設計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13:50~14:00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14:00~14:50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</w:p>
          <w:tbl>
            <w:tblPr>
              <w:tblW w:w="9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cs="Arial"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進</w:t>
                  </w: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階培訓課程表</w:t>
                  </w:r>
                </w:p>
              </w:tc>
            </w:tr>
            <w:tr w:rsidR="000F3CCA" w:rsidRPr="000F3CCA" w:rsidTr="00862BDF">
              <w:trPr>
                <w:tblHeader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4" w:hangingChars="89" w:hanging="214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新住民母語教材分析及補充性教材製作：實作指導（一）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新住民母語教學中的文化教學：非語言語（語言附加成份語、手勢語、表情語、體態語、空間語、物件語）入門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新住民母語教學中的文化教學：非語言語教學實作指導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新住民母語教學中的文化教學：言語互動行為規範教學</w:t>
                  </w:r>
                </w:p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新住民母語教學中的文化教學：國情及日常文化教學的融入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小時課程的規劃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12:50~15:50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（四課時）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週的教學抽樣演練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第五天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D76694">
            <w:pPr>
              <w:adjustRightInd w:val="0"/>
              <w:snapToGrid w:val="0"/>
              <w:spacing w:afterLines="30" w:after="108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</w:tc>
      </w:tr>
    </w:tbl>
    <w:p w:rsidR="007D5490" w:rsidRDefault="007D549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6"/>
      </w:tblGrid>
      <w:tr w:rsidR="004C556E" w:rsidRPr="0046072C" w:rsidTr="00E77214">
        <w:trPr>
          <w:trHeight w:val="13881"/>
        </w:trPr>
        <w:tc>
          <w:tcPr>
            <w:tcW w:w="10008" w:type="dxa"/>
            <w:shd w:val="clear" w:color="auto" w:fill="auto"/>
          </w:tcPr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0F3CCA">
              <w:rPr>
                <w:b/>
                <w:color w:val="000000" w:themeColor="text1"/>
                <w:sz w:val="28"/>
                <w:szCs w:val="28"/>
                <w:u w:val="none"/>
              </w:rPr>
              <w:lastRenderedPageBreak/>
              <w:t>內政部移民署</w:t>
            </w:r>
            <w:r w:rsidRPr="00A10E03">
              <w:rPr>
                <w:b/>
                <w:sz w:val="28"/>
                <w:szCs w:val="28"/>
                <w:u w:val="none"/>
              </w:rPr>
              <w:t>委託輔仁大學辦理</w:t>
            </w:r>
          </w:p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A10E03">
              <w:rPr>
                <w:b/>
                <w:sz w:val="28"/>
                <w:szCs w:val="28"/>
                <w:u w:val="none"/>
              </w:rPr>
              <w:t>「新住民母語教學人才培訓計畫」報名表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4"/>
              <w:gridCol w:w="2277"/>
              <w:gridCol w:w="1108"/>
              <w:gridCol w:w="1151"/>
              <w:gridCol w:w="1276"/>
              <w:gridCol w:w="141"/>
              <w:gridCol w:w="2523"/>
            </w:tblGrid>
            <w:tr w:rsidR="000F3CCA" w:rsidRPr="000F3CCA" w:rsidTr="00862BDF">
              <w:trPr>
                <w:trHeight w:val="36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報名語別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越南語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印尼語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泰國語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柬埔寨語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緬甸語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菲律賓語</w:t>
                  </w:r>
                  <w:r w:rsidRPr="000F3CCA">
                    <w:rPr>
                      <w:rFonts w:hint="eastAsia"/>
                      <w:color w:val="000000" w:themeColor="text1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馬來西亞語</w:t>
                  </w:r>
                </w:p>
              </w:tc>
              <w:tc>
                <w:tcPr>
                  <w:tcW w:w="25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firstLineChars="300" w:firstLine="720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浮貼線</w:t>
                  </w:r>
                </w:p>
              </w:tc>
            </w:tr>
            <w:tr w:rsidR="000F3CCA" w:rsidRPr="000F3CCA" w:rsidTr="00862BDF">
              <w:trPr>
                <w:cantSplit/>
                <w:trHeight w:val="597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姓名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性別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女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黏貼一張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吋脫帽照片，另浮貼一張相片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結業證書用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。</w:t>
                  </w:r>
                </w:p>
                <w:p w:rsidR="004C556E" w:rsidRPr="000F3CCA" w:rsidRDefault="004C556E" w:rsidP="00862BDF">
                  <w:pPr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兩張照片須相同，照片背面請註明姓名。</w:t>
                  </w:r>
                </w:p>
              </w:tc>
            </w:tr>
            <w:tr w:rsidR="000F3CCA" w:rsidRPr="000F3CCA" w:rsidTr="00862BDF">
              <w:trPr>
                <w:cantSplit/>
                <w:trHeight w:val="561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英文姓名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righ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 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需與護照相同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身分證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護照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居留證號碼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出生</w:t>
                  </w:r>
                </w:p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日期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19___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年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月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學歷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國小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高中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大專院校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碩士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博士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49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職業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家管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就業（服務單位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其他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 </w:t>
                  </w:r>
                </w:p>
              </w:tc>
            </w:tr>
            <w:tr w:rsidR="000F3CCA" w:rsidRPr="000F3CCA" w:rsidTr="00862BDF">
              <w:trPr>
                <w:trHeight w:val="106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報名參加縣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臺中市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臺南市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高雄市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2A1017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桃園</w:t>
                  </w:r>
                  <w:r w:rsidR="002A1017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苗栗縣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南投縣</w:t>
                  </w:r>
                </w:p>
                <w:p w:rsidR="004C556E" w:rsidRPr="003A4533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花蓮縣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彰化縣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雲林縣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屏東縣</w:t>
                  </w:r>
                  <w:r w:rsidR="0075572D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="0075572D" w:rsidRPr="003A4533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75572D" w:rsidRPr="003A4533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嘉義縣市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澎湖縣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BD6CB6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</w:t>
                  </w:r>
                  <w:r w:rsidR="004C556E"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班別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初階班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進階班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報名進階班者簡附證明文件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通過本署辦理之「新住民母語教學人才培訓」取得結業證書者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參加各縣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政府曾辦理「新住民母語教學人才培訓」取得結業證書者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曾於國中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小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曾於大專院校或高中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(請將您獲得之證明文件全數檢附。)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 xml:space="preserve"> </w:t>
                  </w:r>
                </w:p>
              </w:tc>
            </w:tr>
            <w:tr w:rsidR="000F3CCA" w:rsidRPr="000F3CCA" w:rsidTr="00862BDF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聯絡電話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住家電話：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行動電話</w:t>
                  </w:r>
                </w:p>
              </w:tc>
              <w:tc>
                <w:tcPr>
                  <w:tcW w:w="2664" w:type="dxa"/>
                  <w:gridSpan w:val="2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09                 </w:t>
                  </w:r>
                </w:p>
              </w:tc>
            </w:tr>
            <w:tr w:rsidR="000F3CCA" w:rsidRPr="000F3CCA" w:rsidTr="00862BDF">
              <w:trPr>
                <w:trHeight w:val="56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聯絡地址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□□□□□(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寄送證書地址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  <w:tr w:rsidR="000F3CCA" w:rsidRPr="000F3CCA" w:rsidTr="00862BDF">
              <w:trPr>
                <w:trHeight w:val="54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E-mail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568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用餐狀況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葷食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素食</w:t>
                  </w:r>
                </w:p>
              </w:tc>
            </w:tr>
          </w:tbl>
          <w:p w:rsidR="004C556E" w:rsidRPr="006B7E0F" w:rsidRDefault="004C556E" w:rsidP="00862BDF">
            <w:pPr>
              <w:spacing w:line="280" w:lineRule="exact"/>
              <w:rPr>
                <w:b/>
                <w:sz w:val="24"/>
                <w:szCs w:val="24"/>
              </w:rPr>
            </w:pPr>
            <w:r w:rsidRPr="006B7E0F">
              <w:rPr>
                <w:b/>
                <w:sz w:val="24"/>
                <w:szCs w:val="24"/>
                <w:u w:val="none"/>
              </w:rPr>
              <w:t>[</w:t>
            </w:r>
            <w:r w:rsidRPr="006B7E0F">
              <w:rPr>
                <w:b/>
                <w:sz w:val="24"/>
                <w:szCs w:val="24"/>
                <w:u w:val="none"/>
              </w:rPr>
              <w:t>證件影本需與報名表中提供之身分證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護照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居留證號碼相同</w:t>
            </w:r>
            <w:r w:rsidRPr="006B7E0F">
              <w:rPr>
                <w:b/>
                <w:sz w:val="24"/>
                <w:szCs w:val="24"/>
                <w:u w:val="none"/>
              </w:rPr>
              <w:t>]</w:t>
            </w:r>
          </w:p>
          <w:tbl>
            <w:tblPr>
              <w:tblW w:w="1017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962"/>
              <w:gridCol w:w="5216"/>
            </w:tblGrid>
            <w:tr w:rsidR="004C556E" w:rsidRPr="006B7E0F" w:rsidTr="00E77214">
              <w:trPr>
                <w:trHeight w:val="3646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證件影本正面黏貼處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5216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證件影本背面黏貼處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</w:tbl>
          <w:p w:rsidR="004C556E" w:rsidRPr="0046072C" w:rsidRDefault="004C556E" w:rsidP="004C556E">
            <w:pPr>
              <w:adjustRightInd w:val="0"/>
              <w:snapToGrid w:val="0"/>
              <w:spacing w:afterLines="30" w:after="108" w:line="280" w:lineRule="exact"/>
              <w:jc w:val="both"/>
              <w:rPr>
                <w:sz w:val="32"/>
                <w:szCs w:val="32"/>
                <w:u w:val="none"/>
              </w:rPr>
            </w:pPr>
          </w:p>
        </w:tc>
      </w:tr>
    </w:tbl>
    <w:p w:rsidR="004C556E" w:rsidRPr="004C556E" w:rsidRDefault="004C556E"/>
    <w:sectPr w:rsidR="004C556E" w:rsidRPr="004C556E" w:rsidSect="00D76694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CB" w:rsidRDefault="00144ACB" w:rsidP="00D76694">
      <w:r>
        <w:separator/>
      </w:r>
    </w:p>
  </w:endnote>
  <w:endnote w:type="continuationSeparator" w:id="0">
    <w:p w:rsidR="00144ACB" w:rsidRDefault="00144ACB" w:rsidP="00D7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886270"/>
      <w:docPartObj>
        <w:docPartGallery w:val="Page Numbers (Bottom of Page)"/>
        <w:docPartUnique/>
      </w:docPartObj>
    </w:sdtPr>
    <w:sdtEndPr/>
    <w:sdtContent>
      <w:p w:rsidR="00D76694" w:rsidRDefault="00D766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EA7" w:rsidRPr="00DE3EA7">
          <w:rPr>
            <w:noProof/>
            <w:lang w:val="zh-TW"/>
          </w:rPr>
          <w:t>1</w:t>
        </w:r>
        <w:r>
          <w:fldChar w:fldCharType="end"/>
        </w:r>
      </w:p>
    </w:sdtContent>
  </w:sdt>
  <w:p w:rsidR="00D76694" w:rsidRDefault="00D766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CB" w:rsidRDefault="00144ACB" w:rsidP="00D76694">
      <w:r>
        <w:separator/>
      </w:r>
    </w:p>
  </w:footnote>
  <w:footnote w:type="continuationSeparator" w:id="0">
    <w:p w:rsidR="00144ACB" w:rsidRDefault="00144ACB" w:rsidP="00D76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4"/>
    <w:rsid w:val="00014F84"/>
    <w:rsid w:val="000519F8"/>
    <w:rsid w:val="000F3CCA"/>
    <w:rsid w:val="00123D1E"/>
    <w:rsid w:val="00144ACB"/>
    <w:rsid w:val="0016263A"/>
    <w:rsid w:val="002A1017"/>
    <w:rsid w:val="003944DB"/>
    <w:rsid w:val="003A4533"/>
    <w:rsid w:val="004C00BE"/>
    <w:rsid w:val="004C556E"/>
    <w:rsid w:val="00597F6E"/>
    <w:rsid w:val="00626675"/>
    <w:rsid w:val="007024C8"/>
    <w:rsid w:val="007337C9"/>
    <w:rsid w:val="0075572D"/>
    <w:rsid w:val="007C3AC6"/>
    <w:rsid w:val="007D5490"/>
    <w:rsid w:val="00844913"/>
    <w:rsid w:val="00A67FC1"/>
    <w:rsid w:val="00AE2950"/>
    <w:rsid w:val="00AF0A18"/>
    <w:rsid w:val="00BD6CB6"/>
    <w:rsid w:val="00CB4F62"/>
    <w:rsid w:val="00D76694"/>
    <w:rsid w:val="00DE3EA7"/>
    <w:rsid w:val="00E70CA8"/>
    <w:rsid w:val="00E77214"/>
    <w:rsid w:val="00F70481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ndflcenter.tw/main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migration.gov.tw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mmigration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001384</dc:creator>
  <cp:lastModifiedBy>tyhs</cp:lastModifiedBy>
  <cp:revision>2</cp:revision>
  <cp:lastPrinted>2015-06-23T10:26:00Z</cp:lastPrinted>
  <dcterms:created xsi:type="dcterms:W3CDTF">2015-08-12T02:34:00Z</dcterms:created>
  <dcterms:modified xsi:type="dcterms:W3CDTF">2015-08-12T02:34:00Z</dcterms:modified>
</cp:coreProperties>
</file>