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CB" w:rsidRPr="009C255E" w:rsidRDefault="00B244CB" w:rsidP="00B244CB">
      <w:pPr>
        <w:pStyle w:val="Web"/>
        <w:shd w:val="clear" w:color="auto" w:fill="F8FCFF"/>
        <w:rPr>
          <w:b/>
          <w:bCs/>
          <w:sz w:val="36"/>
          <w:szCs w:val="36"/>
        </w:rPr>
      </w:pPr>
      <w:r w:rsidRPr="009C255E">
        <w:rPr>
          <w:rFonts w:hint="eastAsia"/>
          <w:b/>
          <w:bCs/>
          <w:sz w:val="36"/>
          <w:szCs w:val="36"/>
        </w:rPr>
        <w:t>電子菸</w:t>
      </w:r>
    </w:p>
    <w:p w:rsidR="008E1FED" w:rsidRDefault="00B244CB">
      <w:r>
        <w:rPr>
          <w:rFonts w:hint="eastAsia"/>
          <w:b/>
          <w:bCs/>
        </w:rPr>
        <w:t>電子香菸</w:t>
      </w:r>
      <w:r>
        <w:rPr>
          <w:rFonts w:hint="eastAsia"/>
        </w:rPr>
        <w:t>（又稱</w:t>
      </w:r>
      <w:r>
        <w:rPr>
          <w:rFonts w:hint="eastAsia"/>
          <w:b/>
          <w:bCs/>
        </w:rPr>
        <w:t>電子菸</w:t>
      </w:r>
      <w:r>
        <w:rPr>
          <w:rFonts w:hint="eastAsia"/>
        </w:rPr>
        <w:t>，英文：</w:t>
      </w:r>
      <w:r>
        <w:rPr>
          <w:rFonts w:hint="eastAsia"/>
          <w:b/>
          <w:bCs/>
        </w:rPr>
        <w:t>E-cigarette</w:t>
      </w:r>
      <w:r>
        <w:rPr>
          <w:rFonts w:hint="eastAsia"/>
        </w:rPr>
        <w:t>），無</w:t>
      </w:r>
      <w:hyperlink r:id="rId5" w:tooltip="煙" w:history="1">
        <w:r>
          <w:rPr>
            <w:rStyle w:val="a3"/>
            <w:rFonts w:hint="eastAsia"/>
          </w:rPr>
          <w:t>煙</w:t>
        </w:r>
      </w:hyperlink>
      <w:r>
        <w:rPr>
          <w:rFonts w:hint="eastAsia"/>
        </w:rPr>
        <w:t>，不需</w:t>
      </w:r>
      <w:hyperlink r:id="rId6" w:tooltip="燃燒" w:history="1">
        <w:r>
          <w:rPr>
            <w:rStyle w:val="a3"/>
            <w:rFonts w:hint="eastAsia"/>
          </w:rPr>
          <w:t>燃燒</w:t>
        </w:r>
      </w:hyperlink>
      <w:r>
        <w:rPr>
          <w:rFonts w:hint="eastAsia"/>
        </w:rPr>
        <w:t>，號稱無</w:t>
      </w:r>
      <w:hyperlink r:id="rId7" w:tooltip="二手菸" w:history="1">
        <w:r>
          <w:rPr>
            <w:rStyle w:val="a3"/>
            <w:rFonts w:hint="eastAsia"/>
          </w:rPr>
          <w:t>二手菸</w:t>
        </w:r>
      </w:hyperlink>
      <w:r>
        <w:rPr>
          <w:rFonts w:hint="eastAsia"/>
        </w:rPr>
        <w:t>，無</w:t>
      </w:r>
      <w:hyperlink r:id="rId8" w:tooltip="焦油" w:history="1">
        <w:r>
          <w:rPr>
            <w:rStyle w:val="a3"/>
            <w:rFonts w:hint="eastAsia"/>
          </w:rPr>
          <w:t>焦油</w:t>
        </w:r>
      </w:hyperlink>
      <w:r>
        <w:rPr>
          <w:rFonts w:hint="eastAsia"/>
        </w:rPr>
        <w:t>，無菸味。並且不會產生</w:t>
      </w:r>
      <w:hyperlink r:id="rId9" w:tooltip="香菸" w:history="1">
        <w:r>
          <w:rPr>
            <w:rStyle w:val="a3"/>
            <w:rFonts w:hint="eastAsia"/>
          </w:rPr>
          <w:t>紙菸</w:t>
        </w:r>
      </w:hyperlink>
      <w:r>
        <w:rPr>
          <w:rFonts w:hint="eastAsia"/>
        </w:rPr>
        <w:t>中已知的</w:t>
      </w:r>
      <w:r>
        <w:rPr>
          <w:rFonts w:hint="eastAsia"/>
        </w:rPr>
        <w:t>70</w:t>
      </w:r>
      <w:r>
        <w:rPr>
          <w:rFonts w:hint="eastAsia"/>
        </w:rPr>
        <w:t>多種致癌物質。大部分透過可充電</w:t>
      </w:r>
      <w:hyperlink r:id="rId10" w:tooltip="鋰聚合物電池" w:history="1">
        <w:r>
          <w:rPr>
            <w:rStyle w:val="a3"/>
            <w:rFonts w:hint="eastAsia"/>
          </w:rPr>
          <w:t>鋰聚合物電池</w:t>
        </w:r>
      </w:hyperlink>
      <w:r>
        <w:rPr>
          <w:rFonts w:hint="eastAsia"/>
        </w:rPr>
        <w:t>供電，經電流通過霧化器模擬吸菸時產生類似煙霧，與香菸並無太大分別，並多添加食用香料增添香味。霧化器通常是一個加熱電子元件包含線圈及棉花。添加於霧化器之液體稱為電子液體，俗稱煙油或果汁。電子液體通常包含的成分有</w:t>
      </w:r>
      <w:hyperlink r:id="rId11" w:tooltip="丙二醇" w:history="1">
        <w:r>
          <w:rPr>
            <w:rStyle w:val="a3"/>
            <w:rFonts w:hint="eastAsia"/>
          </w:rPr>
          <w:t>丙二醇</w:t>
        </w:r>
      </w:hyperlink>
      <w:r>
        <w:rPr>
          <w:rFonts w:hint="eastAsia"/>
        </w:rPr>
        <w:t>，</w:t>
      </w:r>
      <w:hyperlink r:id="rId12" w:tooltip="丙三醇" w:history="1">
        <w:r>
          <w:rPr>
            <w:rStyle w:val="a3"/>
            <w:rFonts w:hint="eastAsia"/>
          </w:rPr>
          <w:t>植物甘油</w:t>
        </w:r>
      </w:hyperlink>
      <w:r>
        <w:rPr>
          <w:rFonts w:hint="eastAsia"/>
        </w:rPr>
        <w:t>，調味香料和</w:t>
      </w:r>
      <w:hyperlink r:id="rId13" w:tooltip="尼古丁" w:history="1">
        <w:r>
          <w:rPr>
            <w:rStyle w:val="a3"/>
            <w:rFonts w:hint="eastAsia"/>
          </w:rPr>
          <w:t>尼古丁</w:t>
        </w:r>
      </w:hyperlink>
      <w:r>
        <w:rPr>
          <w:rFonts w:hint="eastAsia"/>
        </w:rPr>
        <w:t>，但即使只有植物甘油也可以使用，而香料及尼古丁則可選擇添加，亦可不添加。市面上亦有許多不含尼古丁的電子液體。</w:t>
      </w:r>
    </w:p>
    <w:p w:rsidR="00B244CB" w:rsidRDefault="00B244CB" w:rsidP="00B244CB">
      <w:pPr>
        <w:pStyle w:val="Web"/>
        <w:shd w:val="clear" w:color="auto" w:fill="F8FCFF"/>
        <w:rPr>
          <w:rFonts w:hint="eastAsia"/>
        </w:rPr>
      </w:pPr>
      <w:r>
        <w:rPr>
          <w:rFonts w:hint="eastAsia"/>
        </w:rPr>
        <w:t>理論上電子菸取代</w:t>
      </w:r>
      <w:hyperlink r:id="rId14" w:tooltip="香菸" w:history="1">
        <w:r>
          <w:rPr>
            <w:rStyle w:val="a3"/>
            <w:rFonts w:hint="eastAsia"/>
          </w:rPr>
          <w:t>傳統紙菸</w:t>
        </w:r>
      </w:hyperlink>
      <w:r>
        <w:rPr>
          <w:rFonts w:hint="eastAsia"/>
        </w:rPr>
        <w:t>可以大大減少對吸菸者身體健康的危害及火災可能，並可能作為安全的尼古丁替代品。電子菸銷售商一般以香菸替代品的名義行銷，一些醫學界人士認為這將是很有潛力的替代品。由於電子菸屬於新產品，多數國家尚無明確針對電子菸的法律、對產品品質、尼古丁含量及銷售管道的監控也缺乏，使得電子菸的優點目前難以發揮，甚至若買到有問題的電子液體，有吸入過高劑量尼古丁，或甲醛、乙醛的可能性。</w:t>
      </w:r>
    </w:p>
    <w:p w:rsidR="00B244CB" w:rsidRPr="009C255E" w:rsidRDefault="00B244CB" w:rsidP="00B244CB">
      <w:pPr>
        <w:widowControl/>
        <w:shd w:val="clear" w:color="auto" w:fill="F8FCFF"/>
        <w:spacing w:before="100" w:beforeAutospacing="1" w:after="100" w:afterAutospacing="1"/>
        <w:outlineLvl w:val="1"/>
        <w:rPr>
          <w:rFonts w:ascii="新細明體" w:eastAsia="新細明體" w:hAnsi="新細明體" w:cs="新細明體"/>
          <w:b/>
          <w:bCs/>
          <w:kern w:val="0"/>
          <w:sz w:val="36"/>
          <w:szCs w:val="36"/>
        </w:rPr>
      </w:pPr>
      <w:r w:rsidRPr="009C255E">
        <w:rPr>
          <w:rFonts w:ascii="新細明體" w:eastAsia="新細明體" w:hAnsi="新細明體" w:cs="新細明體" w:hint="eastAsia"/>
          <w:b/>
          <w:bCs/>
          <w:kern w:val="0"/>
          <w:sz w:val="36"/>
          <w:szCs w:val="36"/>
        </w:rPr>
        <w:t>法律定位</w:t>
      </w:r>
    </w:p>
    <w:p w:rsidR="00B244CB" w:rsidRDefault="00B244CB">
      <w:pPr>
        <w:rPr>
          <w:rFonts w:ascii="新細明體" w:eastAsia="新細明體" w:hAnsi="新細明體" w:cs="新細明體"/>
          <w:kern w:val="0"/>
          <w:szCs w:val="24"/>
        </w:rPr>
      </w:pPr>
      <w:r w:rsidRPr="009C255E">
        <w:rPr>
          <w:rFonts w:ascii="新細明體" w:eastAsia="新細明體" w:hAnsi="新細明體" w:cs="新細明體" w:hint="eastAsia"/>
          <w:kern w:val="0"/>
          <w:szCs w:val="24"/>
        </w:rPr>
        <w:t>電子菸的合法性目前仍正在等待社會認同與廣泛討論，因為電子菸的發展以及人類對全民健康與社會安全等公眾問題的重視，可能關係到</w:t>
      </w:r>
      <w:hyperlink r:id="rId15" w:tooltip="菸草" w:history="1">
        <w:r w:rsidRPr="009C255E">
          <w:rPr>
            <w:rFonts w:ascii="新細明體" w:eastAsia="新細明體" w:hAnsi="新細明體" w:cs="新細明體" w:hint="eastAsia"/>
            <w:color w:val="0000FF"/>
            <w:kern w:val="0"/>
            <w:szCs w:val="24"/>
            <w:u w:val="single"/>
          </w:rPr>
          <w:t>菸草</w:t>
        </w:r>
      </w:hyperlink>
      <w:r w:rsidRPr="009C255E">
        <w:rPr>
          <w:rFonts w:ascii="新細明體" w:eastAsia="新細明體" w:hAnsi="新細明體" w:cs="新細明體" w:hint="eastAsia"/>
          <w:kern w:val="0"/>
          <w:szCs w:val="24"/>
        </w:rPr>
        <w:t>的法律和醫療藥品政策，對許多國家相對新穎、以及相關使用公眾健康問題，電子菸現行法規與一般輿論見解與社會觀感在各地有很大的不同。在2014年2月，</w:t>
      </w:r>
      <w:hyperlink r:id="rId16" w:tooltip="歐洲議會" w:history="1">
        <w:r w:rsidRPr="009C255E">
          <w:rPr>
            <w:rFonts w:ascii="新細明體" w:eastAsia="新細明體" w:hAnsi="新細明體" w:cs="新細明體" w:hint="eastAsia"/>
            <w:color w:val="0000FF"/>
            <w:kern w:val="0"/>
            <w:szCs w:val="24"/>
            <w:u w:val="single"/>
          </w:rPr>
          <w:t>歐洲議會</w:t>
        </w:r>
      </w:hyperlink>
      <w:r w:rsidRPr="009C255E">
        <w:rPr>
          <w:rFonts w:ascii="新細明體" w:eastAsia="新細明體" w:hAnsi="新細明體" w:cs="新細明體" w:hint="eastAsia"/>
          <w:kern w:val="0"/>
          <w:szCs w:val="24"/>
        </w:rPr>
        <w:t>通過了要求標準化和質量控制液體和霧化器，標示液體成分，以及保護兒童打樣和防篡改液體包裝規定。在2014年4月</w:t>
      </w:r>
      <w:hyperlink r:id="rId17" w:tooltip="美國食品藥品監督管理局" w:history="1">
        <w:r w:rsidRPr="009C255E">
          <w:rPr>
            <w:rFonts w:ascii="新細明體" w:eastAsia="新細明體" w:hAnsi="新細明體" w:cs="新細明體" w:hint="eastAsia"/>
            <w:color w:val="0000FF"/>
            <w:kern w:val="0"/>
            <w:szCs w:val="24"/>
            <w:u w:val="single"/>
          </w:rPr>
          <w:t>美國食品藥品監督管理局</w:t>
        </w:r>
      </w:hyperlink>
      <w:r w:rsidRPr="009C255E">
        <w:rPr>
          <w:rFonts w:ascii="新細明體" w:eastAsia="新細明體" w:hAnsi="新細明體" w:cs="新細明體" w:hint="eastAsia"/>
          <w:kern w:val="0"/>
          <w:szCs w:val="24"/>
        </w:rPr>
        <w:t>公布了電子菸按照類似的思路擬議規例。</w:t>
      </w:r>
    </w:p>
    <w:p w:rsidR="00B244CB" w:rsidRPr="009C255E" w:rsidRDefault="00B244CB" w:rsidP="00B244CB">
      <w:pPr>
        <w:widowControl/>
        <w:shd w:val="clear" w:color="auto" w:fill="F8FCFF"/>
        <w:spacing w:before="100" w:beforeAutospacing="1" w:after="100" w:afterAutospacing="1"/>
        <w:rPr>
          <w:rFonts w:ascii="新細明體" w:eastAsia="新細明體" w:hAnsi="新細明體" w:cs="新細明體" w:hint="eastAsia"/>
          <w:b/>
          <w:bCs/>
          <w:kern w:val="0"/>
          <w:sz w:val="36"/>
          <w:szCs w:val="36"/>
        </w:rPr>
      </w:pPr>
      <w:r w:rsidRPr="009C255E">
        <w:rPr>
          <w:rFonts w:ascii="新細明體" w:eastAsia="新細明體" w:hAnsi="新細明體" w:cs="新細明體" w:hint="eastAsia"/>
          <w:b/>
          <w:bCs/>
          <w:kern w:val="0"/>
          <w:sz w:val="36"/>
          <w:szCs w:val="36"/>
        </w:rPr>
        <w:t>臺灣現行牽涉電子菸的法律有四：</w:t>
      </w:r>
    </w:p>
    <w:p w:rsidR="00B244CB" w:rsidRPr="00B244CB" w:rsidRDefault="00B244CB" w:rsidP="00B244CB">
      <w:pPr>
        <w:pStyle w:val="a4"/>
        <w:numPr>
          <w:ilvl w:val="0"/>
          <w:numId w:val="1"/>
        </w:numPr>
        <w:ind w:leftChars="0"/>
        <w:rPr>
          <w:rFonts w:ascii="新細明體" w:eastAsia="新細明體" w:hAnsi="新細明體" w:cs="新細明體"/>
          <w:kern w:val="0"/>
          <w:szCs w:val="24"/>
        </w:rPr>
      </w:pPr>
      <w:r w:rsidRPr="00B244CB">
        <w:rPr>
          <w:rFonts w:ascii="新細明體" w:eastAsia="新細明體" w:hAnsi="新細明體" w:cs="新細明體" w:hint="eastAsia"/>
          <w:kern w:val="0"/>
          <w:szCs w:val="24"/>
        </w:rPr>
        <w:t>含尼古丁成分之電子菸、電子霧化器產品屬藥品管理，目前衛生福利部尚未核准電子菸產品之藥品許可證 o 倘未依藥事法規定，向衛生福利部申請查驗登記取得藥品許可證而製造、輸入者，則應就其來源認屬藥事法第 20條之偽藥，或同法第22條第1項第2款之禁藥，另依同法第82、83條規定，製造或輸入偽蕪或禁藥者，最高可處10年以下有期徒刑，販賣者最高可處7 年以下有期徒刑。</w:t>
      </w:r>
    </w:p>
    <w:p w:rsidR="00B244CB" w:rsidRPr="00B244CB" w:rsidRDefault="00B244CB" w:rsidP="00B244CB">
      <w:pPr>
        <w:pStyle w:val="a4"/>
        <w:numPr>
          <w:ilvl w:val="0"/>
          <w:numId w:val="1"/>
        </w:numPr>
        <w:ind w:leftChars="0"/>
        <w:rPr>
          <w:rFonts w:ascii="新細明體" w:eastAsia="新細明體" w:hAnsi="新細明體" w:cs="新細明體"/>
          <w:kern w:val="0"/>
          <w:szCs w:val="24"/>
        </w:rPr>
      </w:pPr>
      <w:r w:rsidRPr="00B244CB">
        <w:rPr>
          <w:rFonts w:ascii="新細明體" w:eastAsia="新細明體" w:hAnsi="新細明體" w:cs="新細明體" w:hint="eastAsia"/>
          <w:kern w:val="0"/>
          <w:szCs w:val="24"/>
        </w:rPr>
        <w:t>電子菸如不含尼古丁或其他藥品成分，但宣稱具「幫助戒菸」、「減少菸癮」或「減輕成斷症</w:t>
      </w:r>
    </w:p>
    <w:p w:rsidR="00B244CB" w:rsidRDefault="00B244CB" w:rsidP="00B244CB">
      <w:pPr>
        <w:pStyle w:val="a4"/>
        <w:ind w:leftChars="0" w:left="720"/>
        <w:rPr>
          <w:rFonts w:ascii="新細明體" w:eastAsia="新細明體" w:hAnsi="新細明體" w:cs="新細明體"/>
          <w:kern w:val="0"/>
          <w:szCs w:val="24"/>
        </w:rPr>
      </w:pPr>
      <w:r w:rsidRPr="00B244CB">
        <w:rPr>
          <w:rFonts w:ascii="新細明體" w:eastAsia="新細明體" w:hAnsi="新細明體" w:cs="新細明體" w:hint="eastAsia"/>
          <w:kern w:val="0"/>
          <w:szCs w:val="24"/>
        </w:rPr>
        <w:t>狀效果」等醫療效能詞句，即違反藥事法第69條，非藥物不得為醫療效能之標示或宣傳之規定，違者依向法處新臺幣60 萬元以上 2 千 5 百萬元以下罰緩，其違法物品沒入銷燬。</w:t>
      </w:r>
    </w:p>
    <w:p w:rsidR="00B244CB" w:rsidRPr="00B244CB" w:rsidRDefault="00B244CB" w:rsidP="00B244CB">
      <w:pPr>
        <w:pStyle w:val="a4"/>
        <w:numPr>
          <w:ilvl w:val="0"/>
          <w:numId w:val="1"/>
        </w:numPr>
        <w:ind w:leftChars="0"/>
        <w:rPr>
          <w:rFonts w:ascii="新細明體" w:eastAsia="新細明體" w:hAnsi="新細明體" w:cs="新細明體"/>
          <w:kern w:val="0"/>
          <w:szCs w:val="24"/>
        </w:rPr>
      </w:pPr>
      <w:r w:rsidRPr="00B244CB">
        <w:rPr>
          <w:rFonts w:ascii="新細明體" w:eastAsia="新細明體" w:hAnsi="新細明體" w:cs="新細明體" w:hint="eastAsia"/>
          <w:kern w:val="0"/>
          <w:szCs w:val="24"/>
        </w:rPr>
        <w:t>依菸害防製法第2條第 1款規定，菸品係指全部或部分以菸草或其代用品為原料加工之製品，</w:t>
      </w:r>
    </w:p>
    <w:p w:rsidR="00B244CB" w:rsidRDefault="00B244CB" w:rsidP="00B244CB">
      <w:pPr>
        <w:pStyle w:val="a4"/>
        <w:ind w:leftChars="0" w:left="720"/>
        <w:rPr>
          <w:rFonts w:ascii="新細明體" w:eastAsia="新細明體" w:hAnsi="新細明體" w:cs="新細明體"/>
          <w:kern w:val="0"/>
          <w:szCs w:val="24"/>
        </w:rPr>
      </w:pPr>
      <w:r w:rsidRPr="00B244CB">
        <w:rPr>
          <w:rFonts w:ascii="新細明體" w:eastAsia="新細明體" w:hAnsi="新細明體" w:cs="新細明體" w:hint="eastAsia"/>
          <w:kern w:val="0"/>
          <w:szCs w:val="24"/>
        </w:rPr>
        <w:t>惟查電子菸之煙液成分，係以人工添加尼古丁或其他化學物品，非以菸草為原料加工之天然製品，故電子菸尚非屬菸害防製法規範之產品。</w:t>
      </w:r>
    </w:p>
    <w:p w:rsidR="00B244CB" w:rsidRPr="00B244CB" w:rsidRDefault="00B244CB" w:rsidP="00B244CB">
      <w:pPr>
        <w:pStyle w:val="a4"/>
        <w:widowControl/>
        <w:numPr>
          <w:ilvl w:val="0"/>
          <w:numId w:val="1"/>
        </w:numPr>
        <w:shd w:val="clear" w:color="auto" w:fill="F8FCFF"/>
        <w:spacing w:before="100" w:beforeAutospacing="1" w:after="100" w:afterAutospacing="1"/>
        <w:ind w:leftChars="0"/>
        <w:rPr>
          <w:rFonts w:ascii="新細明體" w:eastAsia="新細明體" w:hAnsi="新細明體" w:cs="新細明體" w:hint="eastAsia"/>
          <w:kern w:val="0"/>
          <w:szCs w:val="24"/>
        </w:rPr>
      </w:pPr>
      <w:r w:rsidRPr="00B244CB">
        <w:rPr>
          <w:rFonts w:ascii="新細明體" w:eastAsia="新細明體" w:hAnsi="新細明體" w:cs="新細明體" w:hint="eastAsia"/>
          <w:kern w:val="0"/>
          <w:szCs w:val="24"/>
        </w:rPr>
        <w:t>若電子菸、電子霧化器等產品不含尼古丁或其他藥品成分也未宣稱具有戒菸療效，惟外型類似</w:t>
      </w:r>
      <w:r w:rsidRPr="00B244CB">
        <w:rPr>
          <w:rFonts w:ascii="新細明體" w:eastAsia="新細明體" w:hAnsi="新細明體" w:cs="新細明體" w:hint="eastAsia"/>
          <w:kern w:val="0"/>
          <w:szCs w:val="24"/>
        </w:rPr>
        <w:t xml:space="preserve">  </w:t>
      </w:r>
      <w:r w:rsidRPr="00B244CB">
        <w:rPr>
          <w:rFonts w:ascii="新細明體" w:eastAsia="新細明體" w:hAnsi="新細明體" w:cs="新細明體" w:hint="eastAsia"/>
          <w:kern w:val="0"/>
          <w:szCs w:val="24"/>
        </w:rPr>
        <w:t>紙菸，則違反菸害防製法第 14條，任何人不得製造、輸入或販賣菸品形狀之物品之規定，依同法第30條規定，製造或輸入業者處新臺幣 1萬元以上 5 萬元以下罰鍰，販賣業者處新臺幣1千元以上3千元以下罰鍰。</w:t>
      </w:r>
    </w:p>
    <w:p w:rsidR="00B244CB" w:rsidRPr="007A4B13" w:rsidRDefault="007A4B13" w:rsidP="007A4B13">
      <w:pPr>
        <w:jc w:val="center"/>
        <w:rPr>
          <w:rFonts w:ascii="新細明體" w:eastAsia="新細明體" w:hAnsi="新細明體" w:cs="新細明體"/>
          <w:b/>
          <w:bCs/>
          <w:kern w:val="0"/>
          <w:sz w:val="36"/>
          <w:szCs w:val="36"/>
        </w:rPr>
      </w:pPr>
      <w:r w:rsidRPr="007A4B13">
        <w:rPr>
          <w:rFonts w:ascii="新細明體" w:eastAsia="新細明體" w:hAnsi="新細明體" w:cs="新細明體" w:hint="eastAsia"/>
          <w:b/>
          <w:bCs/>
          <w:kern w:val="0"/>
          <w:sz w:val="36"/>
          <w:szCs w:val="36"/>
        </w:rPr>
        <w:lastRenderedPageBreak/>
        <w:t>菸害防制法</w:t>
      </w:r>
    </w:p>
    <w:p w:rsidR="007A4B13" w:rsidRDefault="007A4B13" w:rsidP="007A4B13">
      <w:pPr>
        <w:rPr>
          <w:rFonts w:ascii="細明體" w:eastAsia="細明體" w:hAnsi="細明體" w:cs="細明體"/>
          <w:kern w:val="0"/>
          <w:szCs w:val="24"/>
        </w:rPr>
      </w:pPr>
      <w:hyperlink r:id="rId18" w:history="1">
        <w:r w:rsidRPr="007A4B13">
          <w:rPr>
            <w:rFonts w:ascii="新細明體" w:eastAsia="新細明體" w:hAnsi="新細明體" w:cs="新細明體"/>
            <w:color w:val="0000FF"/>
            <w:kern w:val="0"/>
            <w:szCs w:val="24"/>
            <w:u w:val="single"/>
          </w:rPr>
          <w:t>第 12 條</w:t>
        </w:r>
      </w:hyperlink>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父母、監護人或其他實際為照顧之人應禁止未滿十八歲者吸菸。</w:t>
      </w:r>
    </w:p>
    <w:p w:rsidR="007A4B13" w:rsidRDefault="007A4B13" w:rsidP="007A4B13">
      <w:pPr>
        <w:rPr>
          <w:rFonts w:ascii="細明體" w:eastAsia="細明體" w:hAnsi="細明體" w:cs="細明體"/>
          <w:kern w:val="0"/>
          <w:szCs w:val="24"/>
        </w:rPr>
      </w:pPr>
      <w:hyperlink r:id="rId19" w:history="1">
        <w:r w:rsidRPr="007A4B13">
          <w:rPr>
            <w:rFonts w:ascii="新細明體" w:eastAsia="新細明體" w:hAnsi="新細明體" w:cs="新細明體"/>
            <w:color w:val="0000FF"/>
            <w:kern w:val="0"/>
            <w:szCs w:val="24"/>
            <w:u w:val="single"/>
          </w:rPr>
          <w:t>第 13 條</w:t>
        </w:r>
      </w:hyperlink>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任何人不得供應菸品予未滿十八歲者。</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新細明體" w:eastAsia="新細明體" w:hAnsi="新細明體" w:cs="新細明體" w:hint="eastAsia"/>
          <w:color w:val="0000FF"/>
          <w:kern w:val="0"/>
          <w:szCs w:val="24"/>
          <w:u w:val="single"/>
        </w:rPr>
        <w:t>第 15 條</w:t>
      </w:r>
      <w:r w:rsidRPr="007A4B13">
        <w:rPr>
          <w:rFonts w:ascii="新細明體" w:eastAsia="新細明體" w:hAnsi="新細明體" w:cs="新細明體" w:hint="eastAsia"/>
          <w:color w:val="0000FF"/>
          <w:kern w:val="0"/>
          <w:szCs w:val="24"/>
        </w:rPr>
        <w:t xml:space="preserve"> </w:t>
      </w: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下列場所全面禁止吸菸：</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一、高級中等學校以下學校及其他供兒童及少年教育或活動為主要目的之場所。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二、大專校院、圖書館、博物館、美術館及其他文化或社會教育機構所在之室內場所。</w:t>
      </w:r>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r w:rsidRPr="007A4B13">
        <w:rPr>
          <w:rFonts w:ascii="細明體" w:eastAsia="細明體" w:hAnsi="細明體" w:cs="細明體" w:hint="eastAsia"/>
          <w:kern w:val="0"/>
          <w:szCs w:val="24"/>
        </w:rPr>
        <w:t>三、醫療機構、護理機構、其他醫事機構及社會福利機構所在場所。但老人福利機構於設有獨立空調</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及獨立隔間之室內吸菸室，或其室外場所，不在此限。</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四、政府機關及公營事業機構所在之室內場所。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五、大眾運輸工具、計程車、遊覽車、捷運系統、車站及旅客等候室。</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六、製造、儲存或販賣易燃易爆物品之場所。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七、金融機構、郵局及電信事業之營業場所。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八、供室內體育、運動或健身之場所。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九、教室、圖書室、實驗室、表演廳、禮堂、展覽室、會議廳（室）及電梯廂內。</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十、歌劇院、電影院、視聽歌唱業或資訊休閒業及其他供公眾休閒娛樂之室內場所。</w:t>
      </w:r>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r w:rsidRPr="007A4B13">
        <w:rPr>
          <w:rFonts w:ascii="細明體" w:eastAsia="細明體" w:hAnsi="細明體" w:cs="細明體" w:hint="eastAsia"/>
          <w:kern w:val="0"/>
          <w:szCs w:val="24"/>
        </w:rPr>
        <w:t>十一、旅館、商場、餐飲店或其他供公眾消費之室內場所。但於該場所內設有獨立空調及獨立隔間之</w:t>
      </w:r>
      <w:r>
        <w:rPr>
          <w:rFonts w:ascii="細明體" w:eastAsia="細明體" w:hAnsi="細明體" w:cs="細明體" w:hint="eastAsia"/>
          <w:kern w:val="0"/>
          <w:szCs w:val="24"/>
        </w:rPr>
        <w:t xml:space="preserve"> </w:t>
      </w:r>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室內吸菸室、半戶外開放空間之餐飲場所、雪茄館、下午九時以後開始營業且十八歲以上始能</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進入之酒吧、視聽歌唱場所，不在此限。</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十二、三人以上共用之室內工作場所。</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sidRPr="007A4B13">
        <w:rPr>
          <w:rFonts w:ascii="細明體" w:eastAsia="細明體" w:hAnsi="細明體" w:cs="細明體" w:hint="eastAsia"/>
          <w:kern w:val="0"/>
          <w:szCs w:val="24"/>
        </w:rPr>
        <w:t>十三、其他供公共使用之室內場所及經各級主管機關公告指定之場所及交通工具。</w:t>
      </w:r>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新細明體" w:eastAsia="新細明體" w:hAnsi="新細明體" w:cs="新細明體"/>
          <w:kern w:val="0"/>
          <w:szCs w:val="24"/>
        </w:rPr>
      </w:pPr>
      <w:hyperlink r:id="rId20" w:history="1">
        <w:r w:rsidRPr="007A4B13">
          <w:rPr>
            <w:rStyle w:val="a3"/>
            <w:rFonts w:ascii="新細明體" w:eastAsia="新細明體" w:hAnsi="新細明體" w:cs="新細明體"/>
            <w:kern w:val="0"/>
            <w:szCs w:val="24"/>
          </w:rPr>
          <w:t>第 28 條</w:t>
        </w:r>
      </w:hyperlink>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違反第十二條第一項規定者，應令其接受戒菸教育；行為人未滿十八歲且未結婚者，並應令其</w:t>
      </w:r>
      <w:r>
        <w:rPr>
          <w:rFonts w:ascii="細明體" w:eastAsia="細明體" w:hAnsi="細明體" w:cs="細明體" w:hint="eastAsia"/>
          <w:kern w:val="0"/>
          <w:szCs w:val="24"/>
        </w:rPr>
        <w:t xml:space="preserve"> </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父母或監護人使其到場。</w:t>
      </w:r>
    </w:p>
    <w:p w:rsid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無正當理由未依通知接受戒菸教育者，處新臺幣二千元以上一萬元以下罰鍰，並按次連續處</w:t>
      </w:r>
    </w:p>
    <w:p w:rsidR="007A4B13" w:rsidRPr="007A4B13" w:rsidRDefault="007A4B13" w:rsidP="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罰；行為人未滿十八歲且未結婚者，處罰其父母或監護人。</w:t>
      </w:r>
    </w:p>
    <w:p w:rsidR="007A4B13" w:rsidRDefault="009447D8" w:rsidP="007A4B13">
      <w:pPr>
        <w:rPr>
          <w:rFonts w:ascii="細明體" w:eastAsia="細明體" w:hAnsi="細明體" w:cs="細明體"/>
          <w:kern w:val="0"/>
          <w:szCs w:val="24"/>
        </w:rPr>
      </w:pPr>
      <w:hyperlink r:id="rId21" w:history="1">
        <w:r w:rsidRPr="007A4B13">
          <w:rPr>
            <w:rStyle w:val="a3"/>
            <w:rFonts w:ascii="新細明體" w:eastAsia="新細明體" w:hAnsi="新細明體" w:cs="新細明體"/>
            <w:kern w:val="0"/>
            <w:szCs w:val="24"/>
          </w:rPr>
          <w:t>第 29 條</w:t>
        </w:r>
      </w:hyperlink>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違反第十三條規定者，處新臺幣一萬元以上五萬元以下罰鍰。</w:t>
      </w:r>
    </w:p>
    <w:p w:rsidR="009447D8" w:rsidRDefault="009447D8" w:rsidP="00944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kern w:val="0"/>
          <w:szCs w:val="24"/>
        </w:rPr>
      </w:pPr>
      <w:hyperlink r:id="rId22" w:history="1">
        <w:r w:rsidRPr="007A4B13">
          <w:rPr>
            <w:rStyle w:val="a3"/>
            <w:rFonts w:ascii="新細明體" w:eastAsia="新細明體" w:hAnsi="新細明體" w:cs="新細明體"/>
            <w:kern w:val="0"/>
            <w:szCs w:val="24"/>
          </w:rPr>
          <w:t>第 30 條</w:t>
        </w:r>
      </w:hyperlink>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製造或輸入業者，違反第十四條規定者，處新臺幣一萬元以上五萬元以下罰鍰，並令限期</w:t>
      </w:r>
    </w:p>
    <w:p w:rsidR="009447D8" w:rsidRPr="007A4B13" w:rsidRDefault="009447D8" w:rsidP="00944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回收；屆期未回收者，按次連續處罰。</w:t>
      </w:r>
    </w:p>
    <w:p w:rsidR="009447D8" w:rsidRPr="007A4B13" w:rsidRDefault="009447D8" w:rsidP="00944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r>
        <w:rPr>
          <w:rFonts w:ascii="細明體" w:eastAsia="細明體" w:hAnsi="細明體" w:cs="細明體" w:hint="eastAsia"/>
          <w:kern w:val="0"/>
          <w:szCs w:val="24"/>
        </w:rPr>
        <w:t xml:space="preserve">        </w:t>
      </w:r>
      <w:bookmarkStart w:id="0" w:name="_GoBack"/>
      <w:bookmarkEnd w:id="0"/>
      <w:r>
        <w:rPr>
          <w:rFonts w:ascii="細明體" w:eastAsia="細明體" w:hAnsi="細明體" w:cs="細明體" w:hint="eastAsia"/>
          <w:kern w:val="0"/>
          <w:szCs w:val="24"/>
        </w:rPr>
        <w:t xml:space="preserve">  </w:t>
      </w:r>
      <w:r w:rsidRPr="007A4B13">
        <w:rPr>
          <w:rFonts w:ascii="細明體" w:eastAsia="細明體" w:hAnsi="細明體" w:cs="細明體" w:hint="eastAsia"/>
          <w:kern w:val="0"/>
          <w:szCs w:val="24"/>
        </w:rPr>
        <w:t>販賣業者違反第十四條規定者，處新臺幣一千元以上三千元以下罰鍰。</w:t>
      </w:r>
    </w:p>
    <w:p w:rsidR="009447D8" w:rsidRPr="007A4B13" w:rsidRDefault="009447D8" w:rsidP="009447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細明體" w:hint="eastAsia"/>
          <w:kern w:val="0"/>
          <w:szCs w:val="24"/>
        </w:rPr>
      </w:pPr>
      <w:hyperlink r:id="rId23" w:history="1">
        <w:r w:rsidRPr="007A4B13">
          <w:rPr>
            <w:rStyle w:val="a3"/>
            <w:rFonts w:ascii="新細明體" w:eastAsia="新細明體" w:hAnsi="新細明體" w:cs="新細明體"/>
            <w:kern w:val="0"/>
            <w:szCs w:val="24"/>
          </w:rPr>
          <w:t>第 31 條</w:t>
        </w:r>
      </w:hyperlink>
      <w:r>
        <w:rPr>
          <w:rFonts w:ascii="新細明體" w:eastAsia="新細明體" w:hAnsi="新細明體" w:cs="新細明體" w:hint="eastAsia"/>
          <w:kern w:val="0"/>
          <w:szCs w:val="24"/>
        </w:rPr>
        <w:t xml:space="preserve">  </w:t>
      </w:r>
      <w:r w:rsidRPr="007A4B13">
        <w:rPr>
          <w:rFonts w:ascii="細明體" w:eastAsia="細明體" w:hAnsi="細明體" w:cs="細明體" w:hint="eastAsia"/>
          <w:kern w:val="0"/>
          <w:szCs w:val="24"/>
        </w:rPr>
        <w:t>違反第十五條第一項或第十六條第一項規定者，處新臺幣二千元以上一萬元以下罰鍰。</w:t>
      </w:r>
    </w:p>
    <w:p w:rsidR="009447D8" w:rsidRPr="009447D8" w:rsidRDefault="009447D8" w:rsidP="007A4B13">
      <w:pPr>
        <w:rPr>
          <w:rFonts w:hint="eastAsia"/>
        </w:rPr>
      </w:pPr>
    </w:p>
    <w:sectPr w:rsidR="009447D8" w:rsidRPr="009447D8" w:rsidSect="00B244CB">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92836"/>
    <w:multiLevelType w:val="hybridMultilevel"/>
    <w:tmpl w:val="085ACD58"/>
    <w:lvl w:ilvl="0" w:tplc="2B56F4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CB"/>
    <w:rsid w:val="007A4B13"/>
    <w:rsid w:val="008E1FED"/>
    <w:rsid w:val="009447D8"/>
    <w:rsid w:val="00AB6653"/>
    <w:rsid w:val="00B2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764E"/>
  <w15:chartTrackingRefBased/>
  <w15:docId w15:val="{77FBB6D0-0B0E-480B-A041-C29D1EA3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244C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B244CB"/>
    <w:rPr>
      <w:color w:val="0000FF"/>
      <w:u w:val="single"/>
    </w:rPr>
  </w:style>
  <w:style w:type="paragraph" w:styleId="a4">
    <w:name w:val="List Paragraph"/>
    <w:basedOn w:val="a"/>
    <w:uiPriority w:val="34"/>
    <w:qFormat/>
    <w:rsid w:val="00B244CB"/>
    <w:pPr>
      <w:ind w:leftChars="200" w:left="480"/>
    </w:pPr>
  </w:style>
  <w:style w:type="paragraph" w:styleId="HTML">
    <w:name w:val="HTML Preformatted"/>
    <w:basedOn w:val="a"/>
    <w:link w:val="HTML0"/>
    <w:uiPriority w:val="99"/>
    <w:semiHidden/>
    <w:unhideWhenUsed/>
    <w:rsid w:val="007A4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7A4B13"/>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7%84%A6%E6%B2%B9" TargetMode="External"/><Relationship Id="rId13" Type="http://schemas.openxmlformats.org/officeDocument/2006/relationships/hyperlink" Target="https://zh.wikipedia.org/wiki/%E5%B0%BC%E5%8F%A4%E4%B8%81" TargetMode="External"/><Relationship Id="rId18" Type="http://schemas.openxmlformats.org/officeDocument/2006/relationships/hyperlink" Target="http://law.moj.gov.tw/LawClass/LawSingle.aspx?Pcode=L0070021&amp;FLNO=12" TargetMode="External"/><Relationship Id="rId3" Type="http://schemas.openxmlformats.org/officeDocument/2006/relationships/settings" Target="settings.xml"/><Relationship Id="rId21" Type="http://schemas.openxmlformats.org/officeDocument/2006/relationships/hyperlink" Target="http://law.moj.gov.tw/LawClass/LawSingle.aspx?Pcode=L0070021&amp;FLNO=29" TargetMode="External"/><Relationship Id="rId7" Type="http://schemas.openxmlformats.org/officeDocument/2006/relationships/hyperlink" Target="https://zh.wikipedia.org/wiki/%E4%BA%8C%E6%89%8B%E7%85%99" TargetMode="External"/><Relationship Id="rId12" Type="http://schemas.openxmlformats.org/officeDocument/2006/relationships/hyperlink" Target="https://zh.wikipedia.org/wiki/%E4%B8%99%E4%B8%89%E9%86%87" TargetMode="External"/><Relationship Id="rId17" Type="http://schemas.openxmlformats.org/officeDocument/2006/relationships/hyperlink" Target="https://zh.wikipedia.org/wiki/%E7%BE%8E%E5%9C%8B%E9%A3%9F%E5%93%81%E8%97%A5%E5%93%81%E7%9B%A3%E7%9D%A3%E7%AE%A1%E7%90%86%E5%B1%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h.wikipedia.org/wiki/%E6%AD%90%E6%B4%B2%E8%AD%B0%E6%9C%83" TargetMode="External"/><Relationship Id="rId20" Type="http://schemas.openxmlformats.org/officeDocument/2006/relationships/hyperlink" Target="http://law.moj.gov.tw/LawClass/LawSingle.aspx?Pcode=L0070021&amp;FLNO=28" TargetMode="External"/><Relationship Id="rId1" Type="http://schemas.openxmlformats.org/officeDocument/2006/relationships/numbering" Target="numbering.xml"/><Relationship Id="rId6" Type="http://schemas.openxmlformats.org/officeDocument/2006/relationships/hyperlink" Target="https://zh.wikipedia.org/wiki/%E7%87%83%E7%87%92" TargetMode="External"/><Relationship Id="rId11" Type="http://schemas.openxmlformats.org/officeDocument/2006/relationships/hyperlink" Target="https://zh.wikipedia.org/wiki/%E4%B8%99%E4%BA%8C%E9%86%87" TargetMode="External"/><Relationship Id="rId24" Type="http://schemas.openxmlformats.org/officeDocument/2006/relationships/fontTable" Target="fontTable.xml"/><Relationship Id="rId5" Type="http://schemas.openxmlformats.org/officeDocument/2006/relationships/hyperlink" Target="https://zh.wikipedia.org/wiki/%E7%85%99" TargetMode="External"/><Relationship Id="rId15" Type="http://schemas.openxmlformats.org/officeDocument/2006/relationships/hyperlink" Target="https://zh.wikipedia.org/wiki/%E8%8F%B8%E8%8D%89" TargetMode="External"/><Relationship Id="rId23" Type="http://schemas.openxmlformats.org/officeDocument/2006/relationships/hyperlink" Target="http://law.moj.gov.tw/LawClass/LawSingle.aspx?Pcode=L0070021&amp;FLNO=31" TargetMode="External"/><Relationship Id="rId10" Type="http://schemas.openxmlformats.org/officeDocument/2006/relationships/hyperlink" Target="https://zh.wikipedia.org/wiki/%E9%8B%B0%E8%81%9A%E5%90%88%E7%89%A9%E9%9B%BB%E6%B1%A0" TargetMode="External"/><Relationship Id="rId19" Type="http://schemas.openxmlformats.org/officeDocument/2006/relationships/hyperlink" Target="http://law.moj.gov.tw/LawClass/LawSingle.aspx?Pcode=L0070021&amp;FLNO=13" TargetMode="External"/><Relationship Id="rId4" Type="http://schemas.openxmlformats.org/officeDocument/2006/relationships/webSettings" Target="webSettings.xml"/><Relationship Id="rId9" Type="http://schemas.openxmlformats.org/officeDocument/2006/relationships/hyperlink" Target="https://zh.wikipedia.org/wiki/%E9%A6%99%E8%8F%B8" TargetMode="External"/><Relationship Id="rId14" Type="http://schemas.openxmlformats.org/officeDocument/2006/relationships/hyperlink" Target="https://zh.wikipedia.org/wiki/%E9%A6%99%E8%8F%B8" TargetMode="External"/><Relationship Id="rId22" Type="http://schemas.openxmlformats.org/officeDocument/2006/relationships/hyperlink" Target="http://law.moj.gov.tw/LawClass/LawSingle.aspx?Pcode=L0070021&amp;FLNO=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2</cp:revision>
  <dcterms:created xsi:type="dcterms:W3CDTF">2017-02-18T03:37:00Z</dcterms:created>
  <dcterms:modified xsi:type="dcterms:W3CDTF">2017-02-18T04:04:00Z</dcterms:modified>
</cp:coreProperties>
</file>