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0E3" w:rsidRPr="00E970E3" w:rsidRDefault="00E970E3" w:rsidP="00E970E3">
      <w:pPr>
        <w:spacing w:line="500" w:lineRule="exact"/>
        <w:jc w:val="center"/>
        <w:rPr>
          <w:rFonts w:ascii="標楷體" w:eastAsia="標楷體" w:hAnsi="標楷體"/>
          <w:b/>
          <w:bCs/>
          <w:sz w:val="32"/>
          <w:szCs w:val="32"/>
        </w:rPr>
      </w:pPr>
      <w:r w:rsidRPr="00E970E3">
        <w:rPr>
          <w:rFonts w:ascii="標楷體" w:eastAsia="標楷體" w:hAnsi="標楷體" w:hint="eastAsia"/>
          <w:b/>
          <w:bCs/>
          <w:noProof/>
          <w:sz w:val="32"/>
          <w:szCs w:val="32"/>
        </w:rPr>
        <w:t>高雄市政府青年局促進青年創業國際交流補助要點</w:t>
      </w:r>
    </w:p>
    <w:p w:rsidR="00E970E3" w:rsidRPr="00EF7278" w:rsidRDefault="00EF7278" w:rsidP="00EF7278">
      <w:pPr>
        <w:pStyle w:val="a3"/>
        <w:numPr>
          <w:ilvl w:val="0"/>
          <w:numId w:val="15"/>
        </w:numPr>
        <w:spacing w:line="460" w:lineRule="exact"/>
        <w:ind w:leftChars="0" w:rightChars="10" w:right="24" w:hanging="731"/>
        <w:jc w:val="both"/>
        <w:rPr>
          <w:rFonts w:ascii="標楷體" w:eastAsia="標楷體" w:hAnsi="標楷體" w:cs="新細明體"/>
          <w:color w:val="000000" w:themeColor="text1"/>
          <w:sz w:val="36"/>
          <w:szCs w:val="32"/>
        </w:rPr>
      </w:pPr>
      <w:r w:rsidRPr="00EF7278">
        <w:rPr>
          <w:rFonts w:ascii="標楷體" w:eastAsia="標楷體" w:hAnsi="標楷體" w:hint="eastAsia"/>
          <w:color w:val="000000" w:themeColor="text1"/>
          <w:sz w:val="28"/>
        </w:rPr>
        <w:t>高雄市政府青年局(以下簡稱本局)為鼓勵本市青年參與創業或新創事業有關之國際事務，增加國際交流，以串聯全球資源，並強化本市青年創業及新創事業國際化及競爭力，</w:t>
      </w:r>
      <w:r w:rsidRPr="00EF7278">
        <w:rPr>
          <w:rFonts w:ascii="標楷體" w:eastAsia="標楷體" w:hAnsi="標楷體"/>
          <w:color w:val="000000" w:themeColor="text1"/>
          <w:sz w:val="28"/>
        </w:rPr>
        <w:t>特訂定本要點。</w:t>
      </w:r>
    </w:p>
    <w:p w:rsidR="00EF7278" w:rsidRPr="00040015" w:rsidRDefault="00EF7278" w:rsidP="00EF7278">
      <w:pPr>
        <w:pStyle w:val="a3"/>
        <w:numPr>
          <w:ilvl w:val="0"/>
          <w:numId w:val="15"/>
        </w:numPr>
        <w:spacing w:line="460" w:lineRule="exact"/>
        <w:ind w:leftChars="0" w:rightChars="10" w:right="24" w:hanging="731"/>
        <w:jc w:val="both"/>
        <w:rPr>
          <w:rFonts w:ascii="標楷體" w:eastAsia="標楷體" w:hAnsi="標楷體" w:cs="新細明體"/>
          <w:color w:val="000000" w:themeColor="text1"/>
          <w:sz w:val="40"/>
          <w:szCs w:val="32"/>
        </w:rPr>
      </w:pPr>
      <w:r w:rsidRPr="00040015">
        <w:rPr>
          <w:rFonts w:ascii="標楷體" w:eastAsia="標楷體" w:hAnsi="標楷體" w:hint="eastAsia"/>
          <w:sz w:val="28"/>
        </w:rPr>
        <w:t>本要點所稱之本市青年，指十八歲以上四十五歲以下設籍本市之人。</w:t>
      </w:r>
    </w:p>
    <w:p w:rsidR="00EF7278" w:rsidRPr="00040015" w:rsidRDefault="00EF7278" w:rsidP="00EF7278">
      <w:pPr>
        <w:pStyle w:val="a3"/>
        <w:numPr>
          <w:ilvl w:val="0"/>
          <w:numId w:val="15"/>
        </w:numPr>
        <w:spacing w:line="460" w:lineRule="exact"/>
        <w:ind w:leftChars="0" w:rightChars="10" w:right="24" w:hanging="731"/>
        <w:jc w:val="both"/>
        <w:rPr>
          <w:rFonts w:ascii="標楷體" w:eastAsia="標楷體" w:hAnsi="標楷體" w:cs="新細明體"/>
          <w:color w:val="000000" w:themeColor="text1"/>
          <w:sz w:val="40"/>
          <w:szCs w:val="32"/>
        </w:rPr>
      </w:pPr>
      <w:r w:rsidRPr="00040015">
        <w:rPr>
          <w:rFonts w:ascii="標楷體" w:eastAsia="標楷體" w:hAnsi="標楷體" w:hint="eastAsia"/>
          <w:sz w:val="28"/>
        </w:rPr>
        <w:t>本要點之</w:t>
      </w:r>
      <w:r w:rsidRPr="00040015">
        <w:rPr>
          <w:rFonts w:ascii="標楷體" w:eastAsia="標楷體" w:hAnsi="標楷體"/>
          <w:sz w:val="28"/>
        </w:rPr>
        <w:t>補助對象</w:t>
      </w:r>
      <w:r w:rsidRPr="00040015">
        <w:rPr>
          <w:rFonts w:ascii="標楷體" w:eastAsia="標楷體" w:hAnsi="標楷體" w:hint="eastAsia"/>
          <w:sz w:val="28"/>
        </w:rPr>
        <w:t>，為參加與青年創業或新創事業相關之國際性比賽、公共展演、大型會議或國外及大陸地區出訪(以下簡稱交流活動)之本市青年及隨同指導老師。</w:t>
      </w:r>
    </w:p>
    <w:p w:rsidR="00EF7278" w:rsidRPr="00040015" w:rsidRDefault="00EF7278" w:rsidP="00EF7278">
      <w:pPr>
        <w:spacing w:line="400" w:lineRule="exact"/>
        <w:ind w:leftChars="268" w:left="1214" w:hangingChars="204" w:hanging="571"/>
        <w:jc w:val="both"/>
        <w:rPr>
          <w:rFonts w:ascii="標楷體" w:eastAsia="標楷體" w:hAnsi="標楷體"/>
          <w:color w:val="000000"/>
          <w:sz w:val="28"/>
        </w:rPr>
      </w:pPr>
      <w:r w:rsidRPr="00040015">
        <w:rPr>
          <w:rFonts w:ascii="標楷體" w:eastAsia="標楷體" w:hAnsi="標楷體" w:hint="eastAsia"/>
          <w:color w:val="000000"/>
          <w:sz w:val="28"/>
        </w:rPr>
        <w:t xml:space="preserve">       交流活動應符合下列規定：</w:t>
      </w:r>
      <w:bookmarkStart w:id="0" w:name="_GoBack"/>
      <w:bookmarkEnd w:id="0"/>
    </w:p>
    <w:p w:rsidR="00EF7278" w:rsidRPr="00040015" w:rsidRDefault="00EF7278" w:rsidP="00EF7278">
      <w:pPr>
        <w:spacing w:line="400" w:lineRule="exact"/>
        <w:ind w:leftChars="622" w:left="2064" w:hangingChars="204" w:hanging="571"/>
        <w:jc w:val="both"/>
        <w:rPr>
          <w:rFonts w:ascii="標楷體" w:eastAsia="標楷體" w:hAnsi="標楷體"/>
          <w:color w:val="000000"/>
          <w:sz w:val="28"/>
        </w:rPr>
      </w:pPr>
      <w:r w:rsidRPr="00040015">
        <w:rPr>
          <w:rFonts w:ascii="標楷體" w:eastAsia="標楷體" w:hAnsi="標楷體" w:hint="eastAsia"/>
          <w:color w:val="000000"/>
          <w:sz w:val="28"/>
        </w:rPr>
        <w:t>(一)參與國家達三國以上。</w:t>
      </w:r>
    </w:p>
    <w:p w:rsidR="00EF7278" w:rsidRPr="00040015" w:rsidRDefault="00EF7278" w:rsidP="00EF7278">
      <w:pPr>
        <w:spacing w:line="400" w:lineRule="exact"/>
        <w:ind w:leftChars="622" w:left="2081" w:hangingChars="210" w:hanging="588"/>
        <w:jc w:val="both"/>
        <w:rPr>
          <w:rFonts w:ascii="標楷體" w:eastAsia="標楷體" w:hAnsi="標楷體"/>
          <w:color w:val="000000"/>
          <w:sz w:val="28"/>
        </w:rPr>
      </w:pPr>
      <w:r w:rsidRPr="00040015">
        <w:rPr>
          <w:rFonts w:ascii="標楷體" w:eastAsia="標楷體" w:hAnsi="標楷體" w:hint="eastAsia"/>
          <w:color w:val="000000"/>
          <w:sz w:val="28"/>
        </w:rPr>
        <w:t>(二)由官方或官方許可之民間組織辦理。</w:t>
      </w:r>
    </w:p>
    <w:p w:rsidR="00EF7278" w:rsidRPr="00040015" w:rsidRDefault="00EF7278" w:rsidP="00EF7278">
      <w:pPr>
        <w:spacing w:line="400" w:lineRule="exact"/>
        <w:ind w:leftChars="622" w:left="2047" w:hangingChars="198" w:hanging="554"/>
        <w:jc w:val="both"/>
        <w:rPr>
          <w:rFonts w:ascii="標楷體" w:eastAsia="標楷體" w:hAnsi="標楷體"/>
          <w:color w:val="000000"/>
          <w:sz w:val="28"/>
        </w:rPr>
      </w:pPr>
      <w:r w:rsidRPr="00040015">
        <w:rPr>
          <w:rFonts w:ascii="標楷體" w:eastAsia="標楷體" w:hAnsi="標楷體" w:hint="eastAsia"/>
          <w:color w:val="000000"/>
          <w:sz w:val="28"/>
        </w:rPr>
        <w:t>(三)於中華民國舉辦者，外國或大陸地區青年參與人數比例應達總參與人數百分之三十以上。</w:t>
      </w:r>
    </w:p>
    <w:p w:rsidR="00EF7278" w:rsidRPr="00040015" w:rsidRDefault="00EF7278"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第一項所稱之大型會議，參與總人數應達一百人以上，且非屬純學術研究性質。</w:t>
      </w:r>
    </w:p>
    <w:p w:rsidR="003622FA" w:rsidRPr="00040015" w:rsidRDefault="00EF7278" w:rsidP="00975B5C">
      <w:pPr>
        <w:pStyle w:val="a3"/>
        <w:spacing w:line="460" w:lineRule="exact"/>
        <w:ind w:leftChars="0" w:left="1440" w:rightChars="10" w:right="24"/>
        <w:jc w:val="both"/>
        <w:rPr>
          <w:rFonts w:ascii="標楷體" w:eastAsia="標楷體" w:hAnsi="標楷體" w:hint="eastAsia"/>
          <w:sz w:val="28"/>
        </w:rPr>
      </w:pPr>
      <w:r w:rsidRPr="00040015">
        <w:rPr>
          <w:rFonts w:ascii="標楷體" w:eastAsia="標楷體" w:hAnsi="標楷體" w:hint="eastAsia"/>
          <w:sz w:val="28"/>
        </w:rPr>
        <w:t>第一項所稱之國外及大陸地區出訪，指接受外國或大陸地區官方或官方許可之民間組織邀請，前往外國或大陸地區參訪之行程。</w:t>
      </w:r>
    </w:p>
    <w:p w:rsidR="003622FA" w:rsidRPr="00040015" w:rsidRDefault="003622FA" w:rsidP="003622FA">
      <w:pPr>
        <w:pStyle w:val="a3"/>
        <w:numPr>
          <w:ilvl w:val="0"/>
          <w:numId w:val="15"/>
        </w:numPr>
        <w:spacing w:line="460" w:lineRule="exact"/>
        <w:ind w:leftChars="0" w:rightChars="10" w:right="24" w:hanging="731"/>
        <w:jc w:val="both"/>
        <w:rPr>
          <w:rFonts w:ascii="標楷體" w:eastAsia="標楷體" w:hAnsi="標楷體"/>
          <w:sz w:val="28"/>
        </w:rPr>
      </w:pPr>
      <w:r w:rsidRPr="00040015">
        <w:rPr>
          <w:rFonts w:ascii="標楷體" w:eastAsia="標楷體" w:hAnsi="標楷體" w:hint="eastAsia"/>
          <w:sz w:val="28"/>
        </w:rPr>
        <w:t>申請本要點之補助對象應於交流活動開始三十日前檢附下列文件，向本局提出補助申請，每年受理時間至當年度十一月底截止：</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sz w:val="28"/>
        </w:rPr>
        <w:t>(一)</w:t>
      </w:r>
      <w:r w:rsidRPr="00040015">
        <w:rPr>
          <w:rFonts w:ascii="標楷體" w:eastAsia="標楷體" w:hAnsi="標楷體" w:cs="新細明體" w:hint="eastAsia"/>
          <w:sz w:val="28"/>
        </w:rPr>
        <w:t>申請表(格式如附件一)。</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sz w:val="28"/>
        </w:rPr>
        <w:t>(二)</w:t>
      </w:r>
      <w:r w:rsidRPr="00040015">
        <w:rPr>
          <w:rFonts w:ascii="標楷體" w:eastAsia="標楷體" w:hAnsi="標楷體" w:cs="新細明體" w:hint="eastAsia"/>
          <w:sz w:val="28"/>
        </w:rPr>
        <w:t>青年參與名冊(格式如附件二)。</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142" w:hangingChars="236" w:hanging="661"/>
        <w:jc w:val="both"/>
        <w:rPr>
          <w:rFonts w:ascii="標楷體" w:eastAsia="標楷體" w:hAnsi="標楷體" w:cs="新細明體"/>
          <w:sz w:val="28"/>
        </w:rPr>
      </w:pPr>
      <w:r w:rsidRPr="00040015">
        <w:rPr>
          <w:rFonts w:ascii="標楷體" w:eastAsia="標楷體" w:hAnsi="標楷體" w:cs="新細明體" w:hint="eastAsia"/>
          <w:sz w:val="28"/>
        </w:rPr>
        <w:t>(三)補助計畫書 (格式如附件五) 。</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hint="eastAsia"/>
          <w:sz w:val="28"/>
        </w:rPr>
        <w:t>(四)補助經費概算表(格式如附件六)。</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hint="eastAsia"/>
          <w:sz w:val="28"/>
        </w:rPr>
        <w:t>(五)受邀或參與交流活動之證明資料。</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hint="eastAsia"/>
          <w:sz w:val="28"/>
        </w:rPr>
        <w:t>(六)補助對象之身分證明文件或代為辦理者之立案或登記證明及章程影本(大專院校免附)。</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hint="eastAsia"/>
          <w:sz w:val="28"/>
        </w:rPr>
        <w:t>(七)補助經費切結書(格式如附件七)。</w:t>
      </w:r>
    </w:p>
    <w:p w:rsidR="003622FA" w:rsidRPr="00040015" w:rsidRDefault="003622FA"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前項申請得由依法立案本市之人民團體(除政治團體外)、財團法人、本市各高中職、大專院校代為辦理。</w:t>
      </w:r>
    </w:p>
    <w:p w:rsidR="00EF7278" w:rsidRPr="00040015" w:rsidRDefault="003622FA"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第一項申請文件有欠缺或不符規定而其情形可補正者，本局應通知限期補正；屆期未完成補正者，駁回其申請。</w:t>
      </w:r>
    </w:p>
    <w:p w:rsidR="006129BA" w:rsidRPr="00040015" w:rsidRDefault="006129BA" w:rsidP="006129BA">
      <w:pPr>
        <w:pStyle w:val="a3"/>
        <w:numPr>
          <w:ilvl w:val="0"/>
          <w:numId w:val="15"/>
        </w:numPr>
        <w:spacing w:line="460" w:lineRule="exact"/>
        <w:ind w:leftChars="0" w:rightChars="10" w:right="24" w:hanging="731"/>
        <w:jc w:val="both"/>
        <w:rPr>
          <w:rFonts w:ascii="標楷體" w:eastAsia="標楷體" w:hAnsi="標楷體"/>
          <w:sz w:val="28"/>
        </w:rPr>
      </w:pPr>
      <w:r w:rsidRPr="00040015">
        <w:rPr>
          <w:rFonts w:ascii="標楷體" w:eastAsia="標楷體" w:hAnsi="標楷體" w:hint="eastAsia"/>
          <w:sz w:val="28"/>
        </w:rPr>
        <w:t>本要點補助之金額、次數及項目如下：</w:t>
      </w:r>
      <w:r w:rsidRPr="00040015">
        <w:rPr>
          <w:rFonts w:ascii="標楷體" w:eastAsia="標楷體" w:hAnsi="標楷體"/>
          <w:sz w:val="28"/>
        </w:rPr>
        <w:t xml:space="preserve"> </w:t>
      </w:r>
    </w:p>
    <w:p w:rsidR="006129BA" w:rsidRPr="00040015" w:rsidRDefault="006129BA" w:rsidP="006129BA">
      <w:pPr>
        <w:numPr>
          <w:ilvl w:val="0"/>
          <w:numId w:val="3"/>
        </w:numPr>
        <w:spacing w:line="400" w:lineRule="exact"/>
        <w:ind w:leftChars="591" w:left="2079" w:hangingChars="236" w:hanging="661"/>
        <w:jc w:val="both"/>
        <w:rPr>
          <w:rFonts w:ascii="標楷體" w:eastAsia="標楷體" w:hAnsi="標楷體"/>
          <w:sz w:val="28"/>
        </w:rPr>
      </w:pPr>
      <w:r w:rsidRPr="00040015">
        <w:rPr>
          <w:rFonts w:ascii="標楷體" w:eastAsia="標楷體" w:hAnsi="標楷體" w:hint="eastAsia"/>
          <w:sz w:val="28"/>
        </w:rPr>
        <w:lastRenderedPageBreak/>
        <w:t>補助金額：每案以新臺幣五萬元為上限。但代為辦理單位為教育、文化、社會福利團體，且申請案件具公益性質，自籌經費達總經費百分之三十以上者，每案以新臺幣三十萬元為上限。</w:t>
      </w:r>
    </w:p>
    <w:p w:rsidR="006129BA" w:rsidRPr="00040015" w:rsidRDefault="006129BA" w:rsidP="006129BA">
      <w:pPr>
        <w:numPr>
          <w:ilvl w:val="0"/>
          <w:numId w:val="3"/>
        </w:numPr>
        <w:spacing w:line="400" w:lineRule="exact"/>
        <w:ind w:leftChars="591" w:left="2079" w:hangingChars="236" w:hanging="661"/>
        <w:jc w:val="both"/>
        <w:rPr>
          <w:rFonts w:ascii="標楷體" w:eastAsia="標楷體" w:hAnsi="標楷體"/>
          <w:sz w:val="28"/>
        </w:rPr>
      </w:pPr>
      <w:r w:rsidRPr="00040015">
        <w:rPr>
          <w:rFonts w:ascii="標楷體" w:eastAsia="標楷體" w:hAnsi="標楷體" w:hint="eastAsia"/>
          <w:sz w:val="28"/>
        </w:rPr>
        <w:t>補助次數：同一補助對象於同一會計年度內，以二案為上限。</w:t>
      </w:r>
    </w:p>
    <w:p w:rsidR="006129BA" w:rsidRPr="00040015" w:rsidRDefault="006129BA" w:rsidP="006129BA">
      <w:pPr>
        <w:numPr>
          <w:ilvl w:val="0"/>
          <w:numId w:val="3"/>
        </w:numPr>
        <w:spacing w:line="400" w:lineRule="exact"/>
        <w:ind w:leftChars="591" w:left="2079" w:hangingChars="236" w:hanging="661"/>
        <w:jc w:val="both"/>
        <w:rPr>
          <w:rFonts w:ascii="標楷體" w:eastAsia="標楷體" w:hAnsi="標楷體"/>
          <w:sz w:val="28"/>
        </w:rPr>
      </w:pPr>
      <w:r w:rsidRPr="00040015">
        <w:rPr>
          <w:rFonts w:ascii="標楷體" w:eastAsia="標楷體" w:hAnsi="標楷體" w:hint="eastAsia"/>
          <w:sz w:val="28"/>
        </w:rPr>
        <w:t>補助項目：詳補助經費編列基準表所列之項目(格式如附件三)。</w:t>
      </w:r>
    </w:p>
    <w:p w:rsidR="006129BA" w:rsidRPr="00040015" w:rsidRDefault="006129BA"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有下列情形之一且經簽奉核准者，本局得衡酌實際狀況增加補助金額及次數，不受前項第一款及第二款之限制：</w:t>
      </w:r>
    </w:p>
    <w:p w:rsidR="006129BA" w:rsidRPr="00040015" w:rsidRDefault="006129BA" w:rsidP="006129BA">
      <w:pPr>
        <w:spacing w:line="400" w:lineRule="exact"/>
        <w:ind w:leftChars="612" w:left="2071" w:hangingChars="215" w:hanging="602"/>
        <w:jc w:val="both"/>
        <w:rPr>
          <w:rFonts w:ascii="標楷體" w:eastAsia="標楷體" w:hAnsi="標楷體"/>
          <w:sz w:val="28"/>
        </w:rPr>
      </w:pPr>
      <w:r w:rsidRPr="00040015">
        <w:rPr>
          <w:rFonts w:ascii="標楷體" w:eastAsia="標楷體" w:hAnsi="標楷體" w:hint="eastAsia"/>
          <w:sz w:val="28"/>
        </w:rPr>
        <w:t>(一)低收入戶及中低收入戶等弱勢青年參與交流活動之比例過半。</w:t>
      </w:r>
    </w:p>
    <w:p w:rsidR="006129BA" w:rsidRPr="00040015" w:rsidRDefault="006129BA" w:rsidP="006129BA">
      <w:pPr>
        <w:spacing w:line="400" w:lineRule="exact"/>
        <w:ind w:leftChars="612" w:left="2057" w:hangingChars="210" w:hanging="588"/>
        <w:jc w:val="both"/>
        <w:rPr>
          <w:rFonts w:ascii="標楷體" w:eastAsia="標楷體" w:hAnsi="標楷體"/>
          <w:sz w:val="28"/>
        </w:rPr>
      </w:pPr>
      <w:r w:rsidRPr="00040015">
        <w:rPr>
          <w:rFonts w:ascii="標楷體" w:eastAsia="標楷體" w:hAnsi="標楷體" w:hint="eastAsia"/>
          <w:sz w:val="28"/>
        </w:rPr>
        <w:t>(二)申請案件具公益性質。</w:t>
      </w:r>
    </w:p>
    <w:p w:rsidR="003622FA" w:rsidRPr="00040015" w:rsidRDefault="006129BA" w:rsidP="006129BA">
      <w:pPr>
        <w:spacing w:line="400" w:lineRule="exact"/>
        <w:ind w:leftChars="612" w:left="2040" w:hangingChars="204" w:hanging="571"/>
        <w:jc w:val="both"/>
        <w:rPr>
          <w:rFonts w:ascii="標楷體" w:eastAsia="標楷體" w:hAnsi="標楷體" w:hint="eastAsia"/>
          <w:color w:val="000000"/>
          <w:sz w:val="28"/>
        </w:rPr>
      </w:pPr>
      <w:r w:rsidRPr="00040015">
        <w:rPr>
          <w:rFonts w:ascii="標楷體" w:eastAsia="標楷體" w:hAnsi="標楷體" w:hint="eastAsia"/>
          <w:sz w:val="28"/>
        </w:rPr>
        <w:t>(三)其他特殊事由。</w:t>
      </w:r>
    </w:p>
    <w:p w:rsidR="006129BA" w:rsidRPr="00040015" w:rsidRDefault="006129BA" w:rsidP="006129BA">
      <w:pPr>
        <w:pStyle w:val="a3"/>
        <w:numPr>
          <w:ilvl w:val="0"/>
          <w:numId w:val="15"/>
        </w:numPr>
        <w:spacing w:line="460" w:lineRule="exact"/>
        <w:ind w:leftChars="0" w:rightChars="10" w:right="24" w:hanging="731"/>
        <w:jc w:val="both"/>
        <w:rPr>
          <w:rFonts w:ascii="標楷體" w:eastAsia="標楷體" w:hAnsi="標楷體" w:cs="新細明體" w:hint="eastAsia"/>
          <w:color w:val="000000" w:themeColor="text1"/>
          <w:sz w:val="40"/>
          <w:szCs w:val="32"/>
        </w:rPr>
      </w:pPr>
      <w:r w:rsidRPr="00040015">
        <w:rPr>
          <w:rFonts w:ascii="標楷體" w:eastAsia="標楷體" w:hAnsi="標楷體" w:hint="eastAsia"/>
          <w:sz w:val="28"/>
        </w:rPr>
        <w:t xml:space="preserve">申請補助經費未逾新臺幣十萬元之案件，由本局審查。但申請補助經費新臺幣十萬元以上或案件性質特殊者，本局受理後應提送高雄市青年國際交流補助審查會(以下簡稱審查會)審查。 </w:t>
      </w:r>
      <w:r w:rsidRPr="00040015">
        <w:rPr>
          <w:rFonts w:ascii="標楷體" w:eastAsia="標楷體" w:hAnsi="標楷體" w:cs="新細明體" w:hint="eastAsia"/>
          <w:color w:val="000000" w:themeColor="text1"/>
          <w:sz w:val="40"/>
          <w:szCs w:val="32"/>
        </w:rPr>
        <w:t xml:space="preserve">       </w:t>
      </w:r>
    </w:p>
    <w:p w:rsidR="006129BA" w:rsidRPr="00040015" w:rsidRDefault="006129BA" w:rsidP="006129BA">
      <w:pPr>
        <w:spacing w:line="400" w:lineRule="exact"/>
        <w:ind w:leftChars="386" w:left="1497" w:hangingChars="204" w:hanging="571"/>
        <w:jc w:val="both"/>
        <w:rPr>
          <w:rFonts w:ascii="標楷體" w:eastAsia="標楷體" w:hAnsi="標楷體" w:hint="eastAsia"/>
          <w:sz w:val="28"/>
        </w:rPr>
      </w:pPr>
      <w:r w:rsidRPr="00040015">
        <w:rPr>
          <w:rFonts w:ascii="標楷體" w:eastAsia="標楷體" w:hAnsi="標楷體" w:hint="eastAsia"/>
          <w:sz w:val="28"/>
        </w:rPr>
        <w:t xml:space="preserve">    補助金額之審查，應參酌青年參與人數、活動性質、活動內容、活動地點及活動時間等因素為之。</w:t>
      </w:r>
    </w:p>
    <w:p w:rsidR="006129BA" w:rsidRPr="00040015" w:rsidRDefault="006129BA" w:rsidP="006129BA">
      <w:pPr>
        <w:spacing w:line="400" w:lineRule="exact"/>
        <w:ind w:leftChars="236" w:left="1062" w:hangingChars="177" w:hanging="496"/>
        <w:jc w:val="both"/>
        <w:rPr>
          <w:rFonts w:ascii="標楷體" w:eastAsia="標楷體" w:hAnsi="標楷體" w:hint="eastAsia"/>
          <w:sz w:val="28"/>
        </w:rPr>
      </w:pPr>
      <w:r w:rsidRPr="00040015">
        <w:rPr>
          <w:rFonts w:ascii="標楷體" w:eastAsia="標楷體" w:hAnsi="標楷體" w:hint="eastAsia"/>
          <w:sz w:val="28"/>
        </w:rPr>
        <w:t xml:space="preserve">       申請案件經審查通過者，由本局發給核准函。</w:t>
      </w:r>
    </w:p>
    <w:p w:rsidR="00EF7278" w:rsidRPr="00040015" w:rsidRDefault="006129BA" w:rsidP="006129BA">
      <w:pPr>
        <w:spacing w:line="400" w:lineRule="exact"/>
        <w:ind w:leftChars="236" w:left="1062" w:hangingChars="177" w:hanging="496"/>
        <w:jc w:val="both"/>
        <w:rPr>
          <w:rFonts w:ascii="標楷體" w:eastAsia="標楷體" w:hAnsi="標楷體"/>
          <w:sz w:val="28"/>
        </w:rPr>
      </w:pPr>
      <w:r w:rsidRPr="00040015">
        <w:rPr>
          <w:rFonts w:ascii="標楷體" w:eastAsia="標楷體" w:hAnsi="標楷體" w:hint="eastAsia"/>
          <w:sz w:val="28"/>
        </w:rPr>
        <w:t xml:space="preserve">       第一項審查會之組成、運作及其他相關事項，由本局另定之。</w:t>
      </w:r>
    </w:p>
    <w:p w:rsidR="006129BA" w:rsidRPr="00040015" w:rsidRDefault="006129BA" w:rsidP="00975B5C">
      <w:pPr>
        <w:pStyle w:val="a3"/>
        <w:numPr>
          <w:ilvl w:val="0"/>
          <w:numId w:val="15"/>
        </w:numPr>
        <w:spacing w:line="460" w:lineRule="exact"/>
        <w:ind w:leftChars="0" w:rightChars="10" w:right="24" w:hanging="731"/>
        <w:jc w:val="both"/>
        <w:rPr>
          <w:rFonts w:ascii="標楷體" w:eastAsia="標楷體" w:hAnsi="標楷體" w:hint="eastAsia"/>
          <w:sz w:val="28"/>
        </w:rPr>
      </w:pPr>
      <w:r w:rsidRPr="00040015">
        <w:rPr>
          <w:rFonts w:ascii="標楷體" w:eastAsia="標楷體" w:hAnsi="標楷體" w:hint="eastAsia"/>
          <w:sz w:val="28"/>
        </w:rPr>
        <w:t>同一活動已獲得本府其他專案經費補助者，不予補助。如已發給核准函，本局應撤銷之。</w:t>
      </w:r>
    </w:p>
    <w:p w:rsidR="006129BA" w:rsidRPr="00040015" w:rsidRDefault="006129BA"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補助對象曾以同一活動向本府所屬以外機關申請補助者，向本局申請時應列明全部經費內容，以及向其他機關申請之項目及金額。如有隱匿不實或造假情事，本局得撤銷核准函。</w:t>
      </w:r>
    </w:p>
    <w:p w:rsidR="00975B5C" w:rsidRPr="00040015" w:rsidRDefault="00975B5C" w:rsidP="00975B5C">
      <w:pPr>
        <w:pStyle w:val="a3"/>
        <w:numPr>
          <w:ilvl w:val="0"/>
          <w:numId w:val="15"/>
        </w:numPr>
        <w:spacing w:line="460" w:lineRule="exact"/>
        <w:ind w:leftChars="0" w:rightChars="10" w:right="24" w:hanging="731"/>
        <w:jc w:val="both"/>
        <w:rPr>
          <w:rFonts w:ascii="標楷體" w:eastAsia="標楷體" w:hAnsi="標楷體"/>
          <w:sz w:val="28"/>
        </w:rPr>
      </w:pPr>
      <w:r w:rsidRPr="00040015">
        <w:rPr>
          <w:rFonts w:ascii="標楷體" w:eastAsia="標楷體" w:hAnsi="標楷體" w:hint="eastAsia"/>
          <w:sz w:val="28"/>
        </w:rPr>
        <w:t>申請案件經核准後，如有變更經費之必要，補助對象或代為辦理單位應於活動開始十四日前檢附補助計畫經費調整對照表(格式如附件四)，函報本局同意後辦理變更。</w:t>
      </w:r>
    </w:p>
    <w:p w:rsidR="00975B5C" w:rsidRPr="00040015" w:rsidRDefault="00975B5C" w:rsidP="00975B5C">
      <w:pPr>
        <w:pStyle w:val="a3"/>
        <w:numPr>
          <w:ilvl w:val="0"/>
          <w:numId w:val="15"/>
        </w:numPr>
        <w:spacing w:line="460" w:lineRule="exact"/>
        <w:ind w:leftChars="0" w:rightChars="10" w:right="24" w:hanging="731"/>
        <w:jc w:val="both"/>
        <w:rPr>
          <w:rFonts w:ascii="標楷體" w:eastAsia="標楷體" w:hAnsi="標楷體"/>
          <w:sz w:val="28"/>
        </w:rPr>
      </w:pPr>
      <w:r w:rsidRPr="00040015">
        <w:rPr>
          <w:rFonts w:ascii="標楷體" w:eastAsia="標楷體" w:hAnsi="標楷體" w:hint="eastAsia"/>
          <w:sz w:val="28"/>
        </w:rPr>
        <w:t>補助對象所製作之文宣資料、網站及場地布置，應於適當位置標明「補助單位：高雄市政府青年局」中英文字樣及本局標誌。</w:t>
      </w:r>
    </w:p>
    <w:p w:rsidR="00975B5C" w:rsidRPr="00040015" w:rsidRDefault="00975B5C"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補助對象應視本局需要，配合參與成果發表會、宣傳推廣活動或向特定對象進行簡報，並提供活動成果文字暨影像紀錄供本局使用。</w:t>
      </w:r>
    </w:p>
    <w:p w:rsidR="00975B5C" w:rsidRPr="00040015" w:rsidRDefault="00975B5C" w:rsidP="00975B5C">
      <w:pPr>
        <w:pStyle w:val="a3"/>
        <w:numPr>
          <w:ilvl w:val="0"/>
          <w:numId w:val="15"/>
        </w:numPr>
        <w:spacing w:line="460" w:lineRule="exact"/>
        <w:ind w:leftChars="0" w:rightChars="10" w:right="24" w:hanging="731"/>
        <w:jc w:val="both"/>
        <w:rPr>
          <w:rFonts w:ascii="標楷體" w:eastAsia="標楷體" w:hAnsi="標楷體" w:hint="eastAsia"/>
          <w:sz w:val="28"/>
        </w:rPr>
      </w:pPr>
      <w:r w:rsidRPr="00040015">
        <w:rPr>
          <w:rFonts w:ascii="標楷體" w:eastAsia="標楷體" w:hAnsi="標楷體" w:hint="eastAsia"/>
          <w:sz w:val="28"/>
        </w:rPr>
        <w:t>補助對象或代為辦理單位應於活動結束後一個月內檢附下列資料辦理經費請撥：</w:t>
      </w:r>
    </w:p>
    <w:p w:rsidR="00975B5C" w:rsidRPr="00040015" w:rsidRDefault="00975B5C" w:rsidP="00975B5C">
      <w:pPr>
        <w:pStyle w:val="a3"/>
        <w:spacing w:line="460" w:lineRule="exact"/>
        <w:ind w:leftChars="590" w:left="1416" w:rightChars="10" w:right="24"/>
        <w:jc w:val="both"/>
        <w:rPr>
          <w:rFonts w:ascii="標楷體" w:eastAsia="標楷體" w:hAnsi="標楷體" w:hint="eastAsia"/>
          <w:sz w:val="28"/>
        </w:rPr>
      </w:pPr>
      <w:r w:rsidRPr="00040015">
        <w:rPr>
          <w:rFonts w:ascii="標楷體" w:eastAsia="標楷體" w:hAnsi="標楷體" w:hint="eastAsia"/>
          <w:sz w:val="28"/>
        </w:rPr>
        <w:t>(一)核准函影本。</w:t>
      </w:r>
    </w:p>
    <w:p w:rsidR="00975B5C" w:rsidRPr="00040015" w:rsidRDefault="00975B5C" w:rsidP="00975B5C">
      <w:pPr>
        <w:pStyle w:val="a3"/>
        <w:spacing w:line="460" w:lineRule="exact"/>
        <w:ind w:leftChars="590" w:left="1416" w:rightChars="10" w:right="24"/>
        <w:jc w:val="both"/>
        <w:rPr>
          <w:rFonts w:ascii="標楷體" w:eastAsia="標楷體" w:hAnsi="標楷體" w:hint="eastAsia"/>
          <w:sz w:val="28"/>
        </w:rPr>
      </w:pPr>
      <w:r w:rsidRPr="00040015">
        <w:rPr>
          <w:rFonts w:ascii="標楷體" w:eastAsia="標楷體" w:hAnsi="標楷體" w:hint="eastAsia"/>
          <w:sz w:val="28"/>
        </w:rPr>
        <w:t>(二)註明代為辦理單位統一編號之領據正本。</w:t>
      </w:r>
    </w:p>
    <w:p w:rsidR="00975B5C" w:rsidRPr="00040015" w:rsidRDefault="00975B5C" w:rsidP="00975B5C">
      <w:pPr>
        <w:pStyle w:val="a3"/>
        <w:spacing w:line="460" w:lineRule="exact"/>
        <w:ind w:leftChars="590" w:left="1416" w:rightChars="10" w:right="24"/>
        <w:jc w:val="both"/>
        <w:rPr>
          <w:rFonts w:ascii="標楷體" w:eastAsia="標楷體" w:hAnsi="標楷體" w:hint="eastAsia"/>
          <w:sz w:val="28"/>
        </w:rPr>
      </w:pPr>
      <w:r w:rsidRPr="00040015">
        <w:rPr>
          <w:rFonts w:ascii="標楷體" w:eastAsia="標楷體" w:hAnsi="標楷體" w:hint="eastAsia"/>
          <w:sz w:val="28"/>
        </w:rPr>
        <w:lastRenderedPageBreak/>
        <w:t>(三)申請各機關補助經費分攤表。</w:t>
      </w:r>
    </w:p>
    <w:p w:rsidR="00975B5C" w:rsidRPr="00040015" w:rsidRDefault="00975B5C" w:rsidP="00975B5C">
      <w:pPr>
        <w:pStyle w:val="a3"/>
        <w:spacing w:line="460" w:lineRule="exact"/>
        <w:ind w:leftChars="590" w:left="1416" w:rightChars="10" w:right="24"/>
        <w:jc w:val="both"/>
        <w:rPr>
          <w:rFonts w:ascii="標楷體" w:eastAsia="標楷體" w:hAnsi="標楷體" w:hint="eastAsia"/>
          <w:sz w:val="28"/>
        </w:rPr>
      </w:pPr>
      <w:r w:rsidRPr="00040015">
        <w:rPr>
          <w:rFonts w:ascii="標楷體" w:eastAsia="標楷體" w:hAnsi="標楷體" w:hint="eastAsia"/>
          <w:sz w:val="28"/>
        </w:rPr>
        <w:t>(四)補助經費支出憑證簿。</w:t>
      </w:r>
    </w:p>
    <w:p w:rsidR="00975B5C" w:rsidRPr="00040015" w:rsidRDefault="00975B5C" w:rsidP="00975B5C">
      <w:pPr>
        <w:pStyle w:val="a3"/>
        <w:spacing w:line="460" w:lineRule="exact"/>
        <w:ind w:leftChars="590" w:left="1416" w:rightChars="10" w:right="24"/>
        <w:jc w:val="both"/>
        <w:rPr>
          <w:rFonts w:ascii="標楷體" w:eastAsia="標楷體" w:hAnsi="標楷體" w:hint="eastAsia"/>
          <w:sz w:val="28"/>
        </w:rPr>
      </w:pPr>
      <w:r w:rsidRPr="00040015">
        <w:rPr>
          <w:rFonts w:ascii="標楷體" w:eastAsia="標楷體" w:hAnsi="標楷體" w:hint="eastAsia"/>
          <w:sz w:val="28"/>
        </w:rPr>
        <w:t>(五)經費總支出明細表。</w:t>
      </w:r>
    </w:p>
    <w:p w:rsidR="00975B5C" w:rsidRPr="00040015" w:rsidRDefault="00975B5C" w:rsidP="00975B5C">
      <w:pPr>
        <w:pStyle w:val="a3"/>
        <w:spacing w:line="460" w:lineRule="exact"/>
        <w:ind w:leftChars="590" w:left="1416" w:rightChars="10" w:right="24"/>
        <w:jc w:val="both"/>
        <w:rPr>
          <w:rFonts w:ascii="標楷體" w:eastAsia="標楷體" w:hAnsi="標楷體" w:hint="eastAsia"/>
          <w:sz w:val="28"/>
        </w:rPr>
      </w:pPr>
      <w:r w:rsidRPr="00040015">
        <w:rPr>
          <w:rFonts w:ascii="標楷體" w:eastAsia="標楷體" w:hAnsi="標楷體" w:hint="eastAsia"/>
          <w:sz w:val="28"/>
        </w:rPr>
        <w:t>(六)含執行成果概況表之成果報告。</w:t>
      </w:r>
    </w:p>
    <w:p w:rsidR="00975B5C" w:rsidRPr="00040015" w:rsidRDefault="00975B5C" w:rsidP="00975B5C">
      <w:pPr>
        <w:pStyle w:val="a3"/>
        <w:spacing w:line="460" w:lineRule="exact"/>
        <w:ind w:leftChars="590" w:left="1416" w:rightChars="10" w:right="24"/>
        <w:jc w:val="both"/>
        <w:rPr>
          <w:rFonts w:ascii="標楷體" w:eastAsia="標楷體" w:hAnsi="標楷體" w:hint="eastAsia"/>
          <w:sz w:val="28"/>
        </w:rPr>
      </w:pPr>
      <w:r w:rsidRPr="00040015">
        <w:rPr>
          <w:rFonts w:ascii="標楷體" w:eastAsia="標楷體" w:hAnsi="標楷體" w:hint="eastAsia"/>
          <w:sz w:val="28"/>
        </w:rPr>
        <w:t>(七)指定匯款帳戶存摺封面影印本。</w:t>
      </w:r>
    </w:p>
    <w:p w:rsidR="00975B5C" w:rsidRPr="00040015" w:rsidRDefault="00975B5C" w:rsidP="00975B5C">
      <w:pPr>
        <w:pStyle w:val="a3"/>
        <w:spacing w:line="460" w:lineRule="exact"/>
        <w:ind w:leftChars="590" w:left="1416" w:rightChars="10" w:right="24"/>
        <w:jc w:val="both"/>
        <w:rPr>
          <w:rFonts w:ascii="標楷體" w:eastAsia="標楷體" w:hAnsi="標楷體" w:hint="eastAsia"/>
          <w:sz w:val="28"/>
        </w:rPr>
      </w:pPr>
      <w:r w:rsidRPr="00040015">
        <w:rPr>
          <w:rFonts w:ascii="標楷體" w:eastAsia="標楷體" w:hAnsi="標楷體" w:hint="eastAsia"/>
          <w:sz w:val="28"/>
        </w:rPr>
        <w:t>(八)原始支出憑證。</w:t>
      </w:r>
    </w:p>
    <w:p w:rsidR="00975B5C" w:rsidRPr="00040015" w:rsidRDefault="00975B5C" w:rsidP="00975B5C">
      <w:pPr>
        <w:pStyle w:val="a3"/>
        <w:spacing w:line="460" w:lineRule="exact"/>
        <w:ind w:leftChars="590" w:left="1416" w:rightChars="10" w:right="24"/>
        <w:jc w:val="both"/>
        <w:rPr>
          <w:rFonts w:ascii="標楷體" w:eastAsia="標楷體" w:hAnsi="標楷體" w:hint="eastAsia"/>
          <w:sz w:val="28"/>
        </w:rPr>
      </w:pPr>
      <w:r w:rsidRPr="00040015">
        <w:rPr>
          <w:rFonts w:ascii="標楷體" w:eastAsia="標楷體" w:hAnsi="標楷體" w:hint="eastAsia"/>
          <w:sz w:val="28"/>
        </w:rPr>
        <w:t>(九)各類服務人員酬勞費之印領清冊。</w:t>
      </w:r>
    </w:p>
    <w:p w:rsidR="00975B5C" w:rsidRPr="00040015" w:rsidRDefault="00975B5C" w:rsidP="00975B5C">
      <w:pPr>
        <w:pStyle w:val="a3"/>
        <w:spacing w:line="460" w:lineRule="exact"/>
        <w:ind w:leftChars="0" w:left="1440" w:rightChars="10" w:right="24"/>
        <w:jc w:val="both"/>
        <w:rPr>
          <w:rFonts w:ascii="標楷體" w:eastAsia="標楷體" w:hAnsi="標楷體" w:hint="eastAsia"/>
          <w:sz w:val="28"/>
        </w:rPr>
      </w:pPr>
      <w:r w:rsidRPr="00040015">
        <w:rPr>
          <w:rFonts w:ascii="標楷體" w:eastAsia="標楷體" w:hAnsi="標楷體" w:hint="eastAsia"/>
          <w:sz w:val="28"/>
        </w:rPr>
        <w:t>前項第八款憑證，應依支出憑證處理要點規定辦理，並應詳列支出用途及全部實支經費總額。</w:t>
      </w:r>
    </w:p>
    <w:p w:rsidR="00975B5C" w:rsidRPr="00040015" w:rsidRDefault="00975B5C" w:rsidP="00975B5C">
      <w:pPr>
        <w:pStyle w:val="a3"/>
        <w:spacing w:line="460" w:lineRule="exact"/>
        <w:ind w:leftChars="0" w:left="1440" w:rightChars="10" w:right="24"/>
        <w:jc w:val="both"/>
        <w:rPr>
          <w:rFonts w:ascii="標楷體" w:eastAsia="標楷體" w:hAnsi="標楷體" w:hint="eastAsia"/>
          <w:sz w:val="28"/>
        </w:rPr>
      </w:pPr>
      <w:r w:rsidRPr="00040015">
        <w:rPr>
          <w:rFonts w:ascii="標楷體" w:eastAsia="標楷體" w:hAnsi="標楷體" w:hint="eastAsia"/>
          <w:sz w:val="28"/>
        </w:rPr>
        <w:t>第一項第九款印領清冊，需註明應領薪資總額、扣繳稅額及實領淨額，並應依薪資所得扣繳辦法規定辦理所得稅扣繳。</w:t>
      </w:r>
    </w:p>
    <w:p w:rsidR="00975B5C" w:rsidRPr="00040015" w:rsidRDefault="00975B5C" w:rsidP="00975B5C">
      <w:pPr>
        <w:pStyle w:val="a3"/>
        <w:spacing w:line="460" w:lineRule="exact"/>
        <w:ind w:leftChars="0" w:left="1440" w:rightChars="10" w:right="24"/>
        <w:jc w:val="both"/>
        <w:rPr>
          <w:rFonts w:ascii="標楷體" w:eastAsia="標楷體" w:hAnsi="標楷體" w:hint="eastAsia"/>
          <w:sz w:val="28"/>
        </w:rPr>
      </w:pPr>
      <w:r w:rsidRPr="00040015">
        <w:rPr>
          <w:rFonts w:ascii="標楷體" w:eastAsia="標楷體" w:hAnsi="標楷體" w:hint="eastAsia"/>
          <w:sz w:val="28"/>
        </w:rPr>
        <w:t>第一項各款申請資料有欠缺或不符規定而其情形可補正者，本局應通知限期補正。</w:t>
      </w:r>
    </w:p>
    <w:p w:rsidR="00975B5C" w:rsidRPr="00040015" w:rsidRDefault="00975B5C"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十二月份辦理之活動，應於當年度十二月二十五日前辦理請撥並完成補正。</w:t>
      </w:r>
    </w:p>
    <w:p w:rsidR="00975B5C" w:rsidRPr="00040015" w:rsidRDefault="00A350CF" w:rsidP="00A350CF">
      <w:pPr>
        <w:pStyle w:val="a3"/>
        <w:numPr>
          <w:ilvl w:val="0"/>
          <w:numId w:val="15"/>
        </w:numPr>
        <w:spacing w:line="460" w:lineRule="exact"/>
        <w:ind w:leftChars="0" w:rightChars="10" w:right="24" w:hanging="1014"/>
        <w:jc w:val="both"/>
        <w:rPr>
          <w:rFonts w:ascii="標楷體" w:eastAsia="標楷體" w:hAnsi="標楷體"/>
          <w:sz w:val="28"/>
        </w:rPr>
      </w:pPr>
      <w:r w:rsidRPr="00040015">
        <w:rPr>
          <w:rFonts w:ascii="標楷體" w:eastAsia="標楷體" w:hAnsi="標楷體" w:hint="eastAsia"/>
          <w:sz w:val="28"/>
        </w:rPr>
        <w:t>未依前點規定期限辦理請撥或完成補正者，視為放棄請領補助經費，並列為爾後補助審查之重要參據。</w:t>
      </w:r>
    </w:p>
    <w:p w:rsidR="00A350CF" w:rsidRPr="00040015" w:rsidRDefault="00A350CF" w:rsidP="00A350CF">
      <w:pPr>
        <w:pStyle w:val="a3"/>
        <w:numPr>
          <w:ilvl w:val="0"/>
          <w:numId w:val="15"/>
        </w:numPr>
        <w:spacing w:line="460" w:lineRule="exact"/>
        <w:ind w:leftChars="0" w:rightChars="10" w:right="24" w:hanging="1014"/>
        <w:jc w:val="both"/>
        <w:rPr>
          <w:rFonts w:ascii="標楷體" w:eastAsia="標楷體" w:hAnsi="標楷體"/>
          <w:sz w:val="28"/>
        </w:rPr>
      </w:pPr>
      <w:r w:rsidRPr="00040015">
        <w:rPr>
          <w:rFonts w:ascii="標楷體" w:eastAsia="標楷體" w:hAnsi="標楷體" w:hint="eastAsia"/>
          <w:sz w:val="28"/>
        </w:rPr>
        <w:t>補助對象應確實投保旅遊平安險等相關保險，並於第十點第一項第六款成果報告內檢附相關單據。未辦理保險者，依補助對象人數每位扣減補助款百分之五。</w:t>
      </w:r>
    </w:p>
    <w:p w:rsidR="00A350CF" w:rsidRPr="00040015" w:rsidRDefault="00A350CF" w:rsidP="00A350CF">
      <w:pPr>
        <w:pStyle w:val="a3"/>
        <w:numPr>
          <w:ilvl w:val="0"/>
          <w:numId w:val="15"/>
        </w:numPr>
        <w:spacing w:line="460" w:lineRule="exact"/>
        <w:ind w:leftChars="0" w:rightChars="10" w:right="24" w:hanging="1014"/>
        <w:jc w:val="both"/>
        <w:rPr>
          <w:rFonts w:ascii="標楷體" w:eastAsia="標楷體" w:hAnsi="標楷體" w:hint="eastAsia"/>
          <w:sz w:val="28"/>
        </w:rPr>
      </w:pPr>
      <w:r w:rsidRPr="00040015">
        <w:rPr>
          <w:rFonts w:ascii="標楷體" w:eastAsia="標楷體" w:hAnsi="標楷體" w:hint="eastAsia"/>
          <w:sz w:val="28"/>
        </w:rPr>
        <w:t>大專院校代為辦理申請及核銷時，其核銷毋庸檢附第十點第一項第八款資料，惟應將原始支出憑證專冊裝訂，自行妥善保存及管理，本局並得視實際需要，通知調閱查驗或派員抽查。</w:t>
      </w:r>
    </w:p>
    <w:p w:rsidR="00A350CF" w:rsidRPr="00040015" w:rsidRDefault="00A350CF" w:rsidP="00A350CF">
      <w:pPr>
        <w:pStyle w:val="a3"/>
        <w:spacing w:line="460" w:lineRule="exact"/>
        <w:ind w:leftChars="0" w:left="1440" w:rightChars="10" w:right="24"/>
        <w:jc w:val="both"/>
        <w:rPr>
          <w:rFonts w:ascii="標楷體" w:eastAsia="標楷體" w:hAnsi="標楷體" w:hint="eastAsia"/>
          <w:sz w:val="28"/>
        </w:rPr>
      </w:pPr>
      <w:r w:rsidRPr="00040015">
        <w:rPr>
          <w:rFonts w:ascii="標楷體" w:eastAsia="標楷體" w:hAnsi="標楷體" w:hint="eastAsia"/>
          <w:sz w:val="28"/>
        </w:rPr>
        <w:t>除前項情形外，辦理核銷應將符合本局核定計畫預算項目之原始支出憑證黏貼於黏貼憑證用紙，送本局審核。</w:t>
      </w:r>
    </w:p>
    <w:p w:rsidR="00A350CF" w:rsidRPr="00040015" w:rsidRDefault="00A350CF" w:rsidP="00A350CF">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前二項以外之原始支出憑證，應由補助對象及代為辦理單位應依會計法規定自行保存，以備相關單位查核。已屆保存年限之銷毀，應函報本局及本府審計機關同意。有需提前銷毀，或有毀損、滅失等情事時，應敘明原因及處理情形，函報本局及本府審計機關同意。經發現未確實辦理者，本局得依情節輕重酌減該案件尚未支付之補助款、補助對象以後申請案件之補助款，或於一年至五年內不受理補助對象之補助申請。</w:t>
      </w:r>
    </w:p>
    <w:p w:rsidR="00A350CF" w:rsidRPr="00040015" w:rsidRDefault="00A350CF" w:rsidP="00A350CF">
      <w:pPr>
        <w:pStyle w:val="a3"/>
        <w:numPr>
          <w:ilvl w:val="0"/>
          <w:numId w:val="15"/>
        </w:numPr>
        <w:spacing w:line="460" w:lineRule="exact"/>
        <w:ind w:leftChars="0" w:rightChars="10" w:right="24" w:hanging="1014"/>
        <w:jc w:val="both"/>
        <w:rPr>
          <w:rFonts w:ascii="標楷體" w:eastAsia="標楷體" w:hAnsi="標楷體" w:hint="eastAsia"/>
          <w:sz w:val="28"/>
        </w:rPr>
      </w:pPr>
      <w:r w:rsidRPr="00040015">
        <w:rPr>
          <w:rFonts w:ascii="標楷體" w:eastAsia="標楷體" w:hAnsi="標楷體" w:hint="eastAsia"/>
          <w:sz w:val="28"/>
        </w:rPr>
        <w:lastRenderedPageBreak/>
        <w:t>本局得視需要不定期查核補助對象之經費運用情形及計畫執行成效，必要時得派員了解實際執行情形、青年參與比例、活動效益及經費運用之合理性。查核及了解結果納入未來審查補助之重要參據。</w:t>
      </w:r>
    </w:p>
    <w:p w:rsidR="00A350CF" w:rsidRPr="00040015" w:rsidRDefault="00A350CF" w:rsidP="00A350CF">
      <w:pPr>
        <w:pStyle w:val="a3"/>
        <w:spacing w:line="460" w:lineRule="exact"/>
        <w:ind w:leftChars="0" w:left="1440" w:rightChars="10" w:right="24"/>
        <w:jc w:val="both"/>
        <w:rPr>
          <w:rFonts w:ascii="標楷體" w:eastAsia="標楷體" w:hAnsi="標楷體" w:hint="eastAsia"/>
          <w:sz w:val="28"/>
        </w:rPr>
      </w:pPr>
      <w:r w:rsidRPr="00040015">
        <w:rPr>
          <w:rFonts w:ascii="標楷體" w:eastAsia="標楷體" w:hAnsi="標楷體" w:hint="eastAsia"/>
          <w:sz w:val="28"/>
        </w:rPr>
        <w:t>補助對象執行成效不佳、未依補助用途支用、於活動期間從事與補助計畫內容不相關之活動、申請補助資料不實或有造假浮報等情事，本局得撤銷本補助之全部或一部，並視情節輕重於一年至五年內不受理其補助申請。</w:t>
      </w:r>
    </w:p>
    <w:p w:rsidR="00A350CF" w:rsidRPr="00040015" w:rsidRDefault="00A350CF" w:rsidP="00A350CF">
      <w:pPr>
        <w:pStyle w:val="a3"/>
        <w:spacing w:line="460" w:lineRule="exact"/>
        <w:ind w:leftChars="0" w:left="1440" w:rightChars="10" w:right="24"/>
        <w:jc w:val="both"/>
        <w:rPr>
          <w:rFonts w:ascii="標楷體" w:eastAsia="標楷體" w:hAnsi="標楷體" w:hint="eastAsia"/>
          <w:sz w:val="28"/>
        </w:rPr>
      </w:pPr>
      <w:r w:rsidRPr="00040015">
        <w:rPr>
          <w:rFonts w:ascii="標楷體" w:eastAsia="標楷體" w:hAnsi="標楷體" w:hint="eastAsia"/>
          <w:sz w:val="28"/>
        </w:rPr>
        <w:t>補助對象舉辦之活動使用本局名義，而有不當行為者，本局二年內不受理其補助申請。</w:t>
      </w:r>
    </w:p>
    <w:sectPr w:rsidR="00A350CF" w:rsidRPr="00040015" w:rsidSect="0055316E">
      <w:footerReference w:type="default" r:id="rId7"/>
      <w:pgSz w:w="11906" w:h="16838"/>
      <w:pgMar w:top="567" w:right="1797" w:bottom="144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9BA" w:rsidRDefault="006129BA" w:rsidP="00E82858">
      <w:r>
        <w:separator/>
      </w:r>
    </w:p>
  </w:endnote>
  <w:endnote w:type="continuationSeparator" w:id="0">
    <w:p w:rsidR="006129BA" w:rsidRDefault="006129BA" w:rsidP="00E8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9BA" w:rsidRDefault="006129BA">
    <w:pPr>
      <w:pStyle w:val="a6"/>
      <w:jc w:val="center"/>
    </w:pPr>
    <w:r>
      <w:fldChar w:fldCharType="begin"/>
    </w:r>
    <w:r>
      <w:instrText xml:space="preserve"> PAGE </w:instrText>
    </w:r>
    <w:r>
      <w:fldChar w:fldCharType="separate"/>
    </w:r>
    <w:r w:rsidR="00040015">
      <w:rPr>
        <w:noProof/>
      </w:rPr>
      <w:t>3</w:t>
    </w:r>
    <w:r>
      <w:fldChar w:fldCharType="end"/>
    </w:r>
  </w:p>
  <w:p w:rsidR="006129BA" w:rsidRDefault="006129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9BA" w:rsidRDefault="006129BA" w:rsidP="00E82858">
      <w:r>
        <w:separator/>
      </w:r>
    </w:p>
  </w:footnote>
  <w:footnote w:type="continuationSeparator" w:id="0">
    <w:p w:rsidR="006129BA" w:rsidRDefault="006129BA" w:rsidP="00E828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3988"/>
    <w:multiLevelType w:val="hybridMultilevel"/>
    <w:tmpl w:val="D3226566"/>
    <w:lvl w:ilvl="0" w:tplc="DBEEE0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F25145"/>
    <w:multiLevelType w:val="hybridMultilevel"/>
    <w:tmpl w:val="4FC0D3D8"/>
    <w:lvl w:ilvl="0" w:tplc="8D4E7A72">
      <w:start w:val="1"/>
      <w:numFmt w:val="taiwaneseCountingThousand"/>
      <w:lvlText w:val="%1、"/>
      <w:lvlJc w:val="left"/>
      <w:pPr>
        <w:ind w:left="1440" w:hanging="480"/>
      </w:pPr>
      <w:rPr>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171607D"/>
    <w:multiLevelType w:val="hybridMultilevel"/>
    <w:tmpl w:val="19204D6A"/>
    <w:lvl w:ilvl="0" w:tplc="AF861A2E">
      <w:start w:val="1"/>
      <w:numFmt w:val="taiwaneseCountingThousand"/>
      <w:lvlText w:val="%1、"/>
      <w:lvlJc w:val="left"/>
      <w:pPr>
        <w:ind w:left="862" w:hanging="720"/>
      </w:pPr>
      <w:rPr>
        <w:rFonts w:cs="標楷體" w:hint="default"/>
        <w:b w:val="0"/>
        <w:sz w:val="28"/>
        <w:szCs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191D1F77"/>
    <w:multiLevelType w:val="hybridMultilevel"/>
    <w:tmpl w:val="4FC0D3D8"/>
    <w:lvl w:ilvl="0" w:tplc="8D4E7A72">
      <w:start w:val="1"/>
      <w:numFmt w:val="taiwaneseCountingThousand"/>
      <w:lvlText w:val="%1、"/>
      <w:lvlJc w:val="left"/>
      <w:pPr>
        <w:ind w:left="1440" w:hanging="480"/>
      </w:pPr>
      <w:rPr>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3133FC5"/>
    <w:multiLevelType w:val="hybridMultilevel"/>
    <w:tmpl w:val="48347B4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E980787"/>
    <w:multiLevelType w:val="hybridMultilevel"/>
    <w:tmpl w:val="2506A542"/>
    <w:lvl w:ilvl="0" w:tplc="13AC07F6">
      <w:start w:val="1"/>
      <w:numFmt w:val="taiwaneseCountingThousand"/>
      <w:lvlText w:val="(%1)"/>
      <w:lvlJc w:val="left"/>
      <w:pPr>
        <w:ind w:left="1140" w:hanging="720"/>
      </w:pPr>
      <w:rPr>
        <w:rFonts w:hint="default"/>
      </w:rPr>
    </w:lvl>
    <w:lvl w:ilvl="1" w:tplc="5FF6ECAA">
      <w:start w:val="1"/>
      <w:numFmt w:val="decimal"/>
      <w:lvlText w:val="%2."/>
      <w:lvlJc w:val="left"/>
      <w:pPr>
        <w:ind w:left="840" w:hanging="36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A24F7A"/>
    <w:multiLevelType w:val="hybridMultilevel"/>
    <w:tmpl w:val="CC9898B2"/>
    <w:lvl w:ilvl="0" w:tplc="5F6C3A18">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C646FD"/>
    <w:multiLevelType w:val="multilevel"/>
    <w:tmpl w:val="56F4454C"/>
    <w:styleLink w:val="WW8Num26"/>
    <w:lvl w:ilvl="0">
      <w:start w:val="1"/>
      <w:numFmt w:val="decimal"/>
      <w:lvlText w:val="%1."/>
      <w:lvlJc w:val="left"/>
      <w:pPr>
        <w:ind w:left="425" w:hanging="4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66070EE"/>
    <w:multiLevelType w:val="hybridMultilevel"/>
    <w:tmpl w:val="50CC201C"/>
    <w:lvl w:ilvl="0" w:tplc="F2B8252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C7F2DCD"/>
    <w:multiLevelType w:val="hybridMultilevel"/>
    <w:tmpl w:val="A8DCB096"/>
    <w:lvl w:ilvl="0" w:tplc="13AC07F6">
      <w:start w:val="1"/>
      <w:numFmt w:val="taiwaneseCountingThousand"/>
      <w:lvlText w:val="(%1)"/>
      <w:lvlJc w:val="left"/>
      <w:pPr>
        <w:ind w:left="1140" w:hanging="720"/>
      </w:pPr>
      <w:rPr>
        <w:rFonts w:hint="default"/>
      </w:rPr>
    </w:lvl>
    <w:lvl w:ilvl="1" w:tplc="5FF6ECAA">
      <w:start w:val="1"/>
      <w:numFmt w:val="decimal"/>
      <w:lvlText w:val="%2."/>
      <w:lvlJc w:val="left"/>
      <w:pPr>
        <w:ind w:left="840" w:hanging="360"/>
      </w:pPr>
      <w:rPr>
        <w:rFonts w:hint="default"/>
        <w:color w:val="000000"/>
      </w:rPr>
    </w:lvl>
    <w:lvl w:ilvl="2" w:tplc="E9E47CCA">
      <w:start w:val="1"/>
      <w:numFmt w:val="taiwaneseCountingThousand"/>
      <w:lvlText w:val="%3、"/>
      <w:lvlJc w:val="left"/>
      <w:pPr>
        <w:ind w:left="1368" w:hanging="408"/>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3E9269C"/>
    <w:multiLevelType w:val="hybridMultilevel"/>
    <w:tmpl w:val="D3226566"/>
    <w:lvl w:ilvl="0" w:tplc="DBEEE0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AE52BCE"/>
    <w:multiLevelType w:val="multilevel"/>
    <w:tmpl w:val="9050DD4A"/>
    <w:styleLink w:val="WW8Num3"/>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2" w15:restartNumberingAfterBreak="0">
    <w:nsid w:val="78D60772"/>
    <w:multiLevelType w:val="hybridMultilevel"/>
    <w:tmpl w:val="078CCC5E"/>
    <w:lvl w:ilvl="0" w:tplc="9ED4D4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BB776E0"/>
    <w:multiLevelType w:val="hybridMultilevel"/>
    <w:tmpl w:val="A2BEE5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
  </w:num>
  <w:num w:numId="3">
    <w:abstractNumId w:val="5"/>
  </w:num>
  <w:num w:numId="4">
    <w:abstractNumId w:val="8"/>
  </w:num>
  <w:num w:numId="5">
    <w:abstractNumId w:val="10"/>
  </w:num>
  <w:num w:numId="6">
    <w:abstractNumId w:val="0"/>
  </w:num>
  <w:num w:numId="7">
    <w:abstractNumId w:val="13"/>
  </w:num>
  <w:num w:numId="8">
    <w:abstractNumId w:val="9"/>
  </w:num>
  <w:num w:numId="9">
    <w:abstractNumId w:val="11"/>
  </w:num>
  <w:num w:numId="10">
    <w:abstractNumId w:val="7"/>
  </w:num>
  <w:num w:numId="11">
    <w:abstractNumId w:val="7"/>
    <w:lvlOverride w:ilvl="0">
      <w:startOverride w:val="1"/>
    </w:lvlOverride>
  </w:num>
  <w:num w:numId="12">
    <w:abstractNumId w:val="11"/>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78"/>
    <w:rsid w:val="00040015"/>
    <w:rsid w:val="001B6DFA"/>
    <w:rsid w:val="001C59D1"/>
    <w:rsid w:val="003622FA"/>
    <w:rsid w:val="0040350D"/>
    <w:rsid w:val="00450193"/>
    <w:rsid w:val="0055316E"/>
    <w:rsid w:val="0059579F"/>
    <w:rsid w:val="005E540B"/>
    <w:rsid w:val="005F7C92"/>
    <w:rsid w:val="006129BA"/>
    <w:rsid w:val="0066035C"/>
    <w:rsid w:val="0067493B"/>
    <w:rsid w:val="006B1C25"/>
    <w:rsid w:val="007F1378"/>
    <w:rsid w:val="00811801"/>
    <w:rsid w:val="00933F60"/>
    <w:rsid w:val="00975B5C"/>
    <w:rsid w:val="00A350CF"/>
    <w:rsid w:val="00A35FD8"/>
    <w:rsid w:val="00A52D7D"/>
    <w:rsid w:val="00CC6C57"/>
    <w:rsid w:val="00E82858"/>
    <w:rsid w:val="00E970E3"/>
    <w:rsid w:val="00EC4D55"/>
    <w:rsid w:val="00EF72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5338FC-2C7A-46C3-B9E9-AA52A593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7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378"/>
    <w:pPr>
      <w:ind w:leftChars="200" w:left="480"/>
    </w:pPr>
  </w:style>
  <w:style w:type="paragraph" w:styleId="a4">
    <w:name w:val="header"/>
    <w:basedOn w:val="a"/>
    <w:link w:val="a5"/>
    <w:uiPriority w:val="99"/>
    <w:unhideWhenUsed/>
    <w:rsid w:val="00E82858"/>
    <w:pPr>
      <w:tabs>
        <w:tab w:val="center" w:pos="4153"/>
        <w:tab w:val="right" w:pos="8306"/>
      </w:tabs>
      <w:snapToGrid w:val="0"/>
    </w:pPr>
    <w:rPr>
      <w:sz w:val="20"/>
      <w:szCs w:val="20"/>
    </w:rPr>
  </w:style>
  <w:style w:type="character" w:customStyle="1" w:styleId="a5">
    <w:name w:val="頁首 字元"/>
    <w:basedOn w:val="a0"/>
    <w:link w:val="a4"/>
    <w:uiPriority w:val="99"/>
    <w:rsid w:val="00E82858"/>
    <w:rPr>
      <w:rFonts w:ascii="Times New Roman" w:eastAsia="新細明體" w:hAnsi="Times New Roman" w:cs="Times New Roman"/>
      <w:sz w:val="20"/>
      <w:szCs w:val="20"/>
    </w:rPr>
  </w:style>
  <w:style w:type="paragraph" w:styleId="a6">
    <w:name w:val="footer"/>
    <w:basedOn w:val="a"/>
    <w:link w:val="a7"/>
    <w:uiPriority w:val="99"/>
    <w:unhideWhenUsed/>
    <w:rsid w:val="00E82858"/>
    <w:pPr>
      <w:tabs>
        <w:tab w:val="center" w:pos="4153"/>
        <w:tab w:val="right" w:pos="8306"/>
      </w:tabs>
      <w:snapToGrid w:val="0"/>
    </w:pPr>
    <w:rPr>
      <w:sz w:val="20"/>
      <w:szCs w:val="20"/>
    </w:rPr>
  </w:style>
  <w:style w:type="character" w:customStyle="1" w:styleId="a7">
    <w:name w:val="頁尾 字元"/>
    <w:basedOn w:val="a0"/>
    <w:link w:val="a6"/>
    <w:uiPriority w:val="99"/>
    <w:rsid w:val="00E82858"/>
    <w:rPr>
      <w:rFonts w:ascii="Times New Roman" w:eastAsia="新細明體" w:hAnsi="Times New Roman" w:cs="Times New Roman"/>
      <w:sz w:val="20"/>
      <w:szCs w:val="20"/>
    </w:rPr>
  </w:style>
  <w:style w:type="character" w:styleId="a8">
    <w:name w:val="page number"/>
    <w:basedOn w:val="a0"/>
    <w:rsid w:val="00E970E3"/>
  </w:style>
  <w:style w:type="numbering" w:customStyle="1" w:styleId="WW8Num3">
    <w:name w:val="WW8Num3"/>
    <w:basedOn w:val="a2"/>
    <w:rsid w:val="0055316E"/>
    <w:pPr>
      <w:numPr>
        <w:numId w:val="9"/>
      </w:numPr>
    </w:pPr>
  </w:style>
  <w:style w:type="numbering" w:customStyle="1" w:styleId="WW8Num26">
    <w:name w:val="WW8Num26"/>
    <w:basedOn w:val="a2"/>
    <w:rsid w:val="0055316E"/>
    <w:pPr>
      <w:numPr>
        <w:numId w:val="10"/>
      </w:numPr>
    </w:pPr>
  </w:style>
  <w:style w:type="paragraph" w:styleId="a9">
    <w:name w:val="Balloon Text"/>
    <w:basedOn w:val="a"/>
    <w:link w:val="aa"/>
    <w:uiPriority w:val="99"/>
    <w:semiHidden/>
    <w:unhideWhenUsed/>
    <w:rsid w:val="008118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18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2019-12-12T08:07:00Z</cp:lastPrinted>
  <dcterms:created xsi:type="dcterms:W3CDTF">2019-12-20T07:17:00Z</dcterms:created>
  <dcterms:modified xsi:type="dcterms:W3CDTF">2019-12-20T07:40:00Z</dcterms:modified>
</cp:coreProperties>
</file>